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C615" w14:textId="77777777" w:rsidR="009403E7" w:rsidRPr="00CB73F9" w:rsidRDefault="009403E7" w:rsidP="00E86215">
      <w:pPr>
        <w:spacing w:after="0" w:line="240" w:lineRule="auto"/>
        <w:jc w:val="both"/>
        <w:rPr>
          <w:rFonts w:cstheme="minorHAnsi"/>
          <w:sz w:val="22"/>
          <w:szCs w:val="22"/>
          <w:lang w:val="lv-LV"/>
        </w:rPr>
      </w:pPr>
    </w:p>
    <w:p w14:paraId="001EB4EC" w14:textId="77777777" w:rsidR="00291AB2" w:rsidRPr="00CB73F9" w:rsidRDefault="00291AB2" w:rsidP="00291AB2">
      <w:pPr>
        <w:rPr>
          <w:lang w:val="lv-LV"/>
        </w:rPr>
      </w:pPr>
    </w:p>
    <w:p w14:paraId="3B0C050B" w14:textId="253D17C3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PIEKĻŪSTAMĪBAS I</w:t>
      </w:r>
      <w:r w:rsidR="009A3018" w:rsidRPr="00A83638">
        <w:rPr>
          <w:b/>
          <w:bCs/>
          <w:sz w:val="28"/>
          <w:szCs w:val="28"/>
          <w:lang w:val="lv-LV"/>
        </w:rPr>
        <w:t>ZVĒRTĒŠANAS PROTOKOL</w:t>
      </w:r>
      <w:r w:rsidR="00EA0E8C" w:rsidRPr="00A83638">
        <w:rPr>
          <w:b/>
          <w:bCs/>
          <w:sz w:val="28"/>
          <w:szCs w:val="28"/>
          <w:lang w:val="lv-LV"/>
        </w:rPr>
        <w:t xml:space="preserve">A </w:t>
      </w:r>
      <w:r w:rsidR="00091BF2" w:rsidRPr="00A83638">
        <w:rPr>
          <w:b/>
          <w:bCs/>
          <w:sz w:val="28"/>
          <w:szCs w:val="28"/>
          <w:lang w:val="lv-LV"/>
        </w:rPr>
        <w:t>VEIDLAPA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3683"/>
        <w:gridCol w:w="538"/>
        <w:gridCol w:w="4390"/>
        <w:gridCol w:w="2834"/>
      </w:tblGrid>
      <w:tr w:rsidR="00CB73F9" w:rsidRPr="004D7434" w14:paraId="7C567BC8" w14:textId="77777777" w:rsidTr="004D4D6B">
        <w:tc>
          <w:tcPr>
            <w:tcW w:w="3077" w:type="dxa"/>
            <w:vAlign w:val="center"/>
          </w:tcPr>
          <w:p w14:paraId="572A52B5" w14:textId="47CEBC45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atbilstība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prasībām veikta (veikšanas datums):</w:t>
            </w:r>
            <w:r w:rsidR="00940039">
              <w:rPr>
                <w:color w:val="7F7F7F" w:themeColor="text1" w:themeTint="80"/>
                <w:lang w:val="lv-LV"/>
              </w:rPr>
              <w:t xml:space="preserve"> 1</w:t>
            </w:r>
            <w:r w:rsidR="00552BEC">
              <w:rPr>
                <w:color w:val="7F7F7F" w:themeColor="text1" w:themeTint="80"/>
                <w:lang w:val="lv-LV"/>
              </w:rPr>
              <w:t>4</w:t>
            </w:r>
            <w:r w:rsidR="00940039">
              <w:rPr>
                <w:color w:val="7F7F7F" w:themeColor="text1" w:themeTint="80"/>
                <w:lang w:val="lv-LV"/>
              </w:rPr>
              <w:t>.09.2026</w:t>
            </w:r>
          </w:p>
        </w:tc>
        <w:tc>
          <w:tcPr>
            <w:tcW w:w="4006" w:type="dxa"/>
            <w:vAlign w:val="center"/>
          </w:tcPr>
          <w:p w14:paraId="0DB3D02F" w14:textId="5BE6AFD6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465A2A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251078C5" w14:textId="77777777" w:rsidR="0094003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  <w:r w:rsidR="00940039">
              <w:rPr>
                <w:color w:val="7F7F7F" w:themeColor="text1" w:themeTint="80"/>
                <w:lang w:val="lv-LV"/>
              </w:rPr>
              <w:t xml:space="preserve"> </w:t>
            </w:r>
          </w:p>
          <w:p w14:paraId="13FDD4DA" w14:textId="189B9E31" w:rsidR="00CB73F9" w:rsidRPr="00CB73F9" w:rsidRDefault="00940039" w:rsidP="004D4D6B">
            <w:pPr>
              <w:rPr>
                <w:color w:val="7F7F7F" w:themeColor="text1" w:themeTint="80"/>
                <w:lang w:val="lv-LV"/>
              </w:rPr>
            </w:pPr>
            <w:r>
              <w:rPr>
                <w:color w:val="7F7F7F" w:themeColor="text1" w:themeTint="80"/>
                <w:lang w:val="lv-LV"/>
              </w:rPr>
              <w:t>Signe Klusa, Jūras negadījumu izmeklētājs</w:t>
            </w:r>
          </w:p>
        </w:tc>
        <w:tc>
          <w:tcPr>
            <w:tcW w:w="3078" w:type="dxa"/>
          </w:tcPr>
          <w:p w14:paraId="0BDB6FA3" w14:textId="2485877A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CB73F9" w:rsidRPr="004D7434" w14:paraId="2F3BE3F4" w14:textId="77777777" w:rsidTr="004D4D6B">
        <w:tc>
          <w:tcPr>
            <w:tcW w:w="3077" w:type="dxa"/>
            <w:vAlign w:val="center"/>
          </w:tcPr>
          <w:p w14:paraId="1CD79102" w14:textId="70202E89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Iestādes nosaukums:</w:t>
            </w:r>
            <w:r w:rsidR="00940039">
              <w:rPr>
                <w:color w:val="7F7F7F" w:themeColor="text1" w:themeTint="80"/>
                <w:lang w:val="lv-LV"/>
              </w:rPr>
              <w:t xml:space="preserve"> Transporta nelaimes gadījumu un incidentu izmeklēšanas birojs</w:t>
            </w:r>
          </w:p>
        </w:tc>
        <w:tc>
          <w:tcPr>
            <w:tcW w:w="4006" w:type="dxa"/>
            <w:vAlign w:val="center"/>
          </w:tcPr>
          <w:p w14:paraId="14E2BC31" w14:textId="7BA60FAB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5A5BB2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3E9C8084" w14:textId="77777777" w:rsid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</w:p>
          <w:p w14:paraId="7A7CA8D5" w14:textId="0EDD800C" w:rsidR="00552BEC" w:rsidRPr="00CB73F9" w:rsidRDefault="00552BEC" w:rsidP="004D4D6B">
            <w:pPr>
              <w:rPr>
                <w:color w:val="7F7F7F" w:themeColor="text1" w:themeTint="80"/>
                <w:lang w:val="lv-LV"/>
              </w:rPr>
            </w:pPr>
            <w:r>
              <w:rPr>
                <w:color w:val="7F7F7F" w:themeColor="text1" w:themeTint="80"/>
                <w:lang w:val="lv-LV"/>
              </w:rPr>
              <w:t>Santa Aveniņa, juriskonsults</w:t>
            </w:r>
          </w:p>
        </w:tc>
        <w:tc>
          <w:tcPr>
            <w:tcW w:w="3078" w:type="dxa"/>
          </w:tcPr>
          <w:p w14:paraId="1B65E62C" w14:textId="31AB1EED" w:rsidR="00CB73F9" w:rsidRPr="00CB73F9" w:rsidRDefault="00CB73F9" w:rsidP="004D4D6B">
            <w:pPr>
              <w:rPr>
                <w:lang w:val="lv-LV"/>
              </w:rPr>
            </w:pPr>
          </w:p>
        </w:tc>
      </w:tr>
      <w:tr w:rsidR="00CB73F9" w:rsidRPr="00CB73F9" w14:paraId="3B023A65" w14:textId="77777777" w:rsidTr="004D4D6B">
        <w:tc>
          <w:tcPr>
            <w:tcW w:w="3077" w:type="dxa"/>
            <w:vAlign w:val="center"/>
          </w:tcPr>
          <w:p w14:paraId="27A4C36F" w14:textId="19700F43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domēna nosaukums (URL):</w:t>
            </w:r>
            <w:r w:rsidR="00940039">
              <w:rPr>
                <w:color w:val="7F7F7F" w:themeColor="text1" w:themeTint="80"/>
                <w:lang w:val="lv-LV"/>
              </w:rPr>
              <w:t xml:space="preserve"> www.taiib.gov.lv</w:t>
            </w:r>
          </w:p>
        </w:tc>
        <w:tc>
          <w:tcPr>
            <w:tcW w:w="4006" w:type="dxa"/>
            <w:vAlign w:val="center"/>
          </w:tcPr>
          <w:p w14:paraId="76EA5136" w14:textId="0CCE2824" w:rsidR="00CB73F9" w:rsidRPr="00CB73F9" w:rsidRDefault="00CB73F9" w:rsidP="00CB73F9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3A874C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E6519B1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67978625" w14:textId="77777777" w:rsidR="00CB73F9" w:rsidRPr="00CB73F9" w:rsidRDefault="00CB73F9" w:rsidP="004D4D6B">
            <w:pPr>
              <w:rPr>
                <w:lang w:val="lv-LV"/>
              </w:rPr>
            </w:pPr>
          </w:p>
        </w:tc>
      </w:tr>
    </w:tbl>
    <w:p w14:paraId="5F86FF52" w14:textId="77777777" w:rsidR="00CB73F9" w:rsidRPr="00CB73F9" w:rsidRDefault="00CB73F9" w:rsidP="00CB73F9">
      <w:pPr>
        <w:rPr>
          <w:lang w:val="lv-LV"/>
        </w:rPr>
      </w:pPr>
    </w:p>
    <w:tbl>
      <w:tblPr>
        <w:tblStyle w:val="Reatabula"/>
        <w:tblW w:w="5185" w:type="pct"/>
        <w:tblLayout w:type="fixed"/>
        <w:tblLook w:val="04A0" w:firstRow="1" w:lastRow="0" w:firstColumn="1" w:lastColumn="0" w:noHBand="0" w:noVBand="1"/>
      </w:tblPr>
      <w:tblGrid>
        <w:gridCol w:w="1700"/>
        <w:gridCol w:w="1265"/>
        <w:gridCol w:w="1440"/>
        <w:gridCol w:w="1450"/>
        <w:gridCol w:w="1167"/>
        <w:gridCol w:w="1233"/>
        <w:gridCol w:w="1146"/>
        <w:gridCol w:w="1104"/>
        <w:gridCol w:w="1104"/>
        <w:gridCol w:w="1104"/>
        <w:gridCol w:w="1104"/>
        <w:gridCol w:w="1105"/>
      </w:tblGrid>
      <w:tr w:rsidR="00CB73F9" w:rsidRPr="004D7434" w14:paraId="7593BCF0" w14:textId="77777777" w:rsidTr="00E05AA5">
        <w:trPr>
          <w:trHeight w:val="1214"/>
        </w:trPr>
        <w:tc>
          <w:tcPr>
            <w:tcW w:w="1700" w:type="dxa"/>
            <w:vAlign w:val="center"/>
          </w:tcPr>
          <w:p w14:paraId="58FDC354" w14:textId="77777777" w:rsidR="00CB73F9" w:rsidRPr="00CB73F9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CB73F9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1265" w:type="dxa"/>
            <w:vAlign w:val="center"/>
          </w:tcPr>
          <w:p w14:paraId="1A3B65DA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440" w:type="dxa"/>
            <w:vAlign w:val="center"/>
          </w:tcPr>
          <w:p w14:paraId="73BF2B1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proofErr w:type="spellStart"/>
            <w:r w:rsidRPr="00CB73F9">
              <w:rPr>
                <w:b/>
                <w:bCs/>
                <w:sz w:val="16"/>
                <w:szCs w:val="16"/>
                <w:lang w:val="lv-LV"/>
              </w:rPr>
              <w:t>Pamatstruk-tūras</w:t>
            </w:r>
            <w:proofErr w:type="spellEnd"/>
            <w:r w:rsidRPr="00CB73F9">
              <w:rPr>
                <w:b/>
                <w:bCs/>
                <w:sz w:val="16"/>
                <w:szCs w:val="16"/>
                <w:lang w:val="lv-LV"/>
              </w:rPr>
              <w:t xml:space="preserve"> pārbaude</w:t>
            </w:r>
          </w:p>
        </w:tc>
        <w:tc>
          <w:tcPr>
            <w:tcW w:w="1450" w:type="dxa"/>
            <w:vAlign w:val="center"/>
          </w:tcPr>
          <w:p w14:paraId="07E51BD4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167" w:type="dxa"/>
            <w:vAlign w:val="center"/>
          </w:tcPr>
          <w:p w14:paraId="7B693AE6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233" w:type="dxa"/>
            <w:vAlign w:val="center"/>
          </w:tcPr>
          <w:p w14:paraId="0F05942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1146" w:type="dxa"/>
            <w:vAlign w:val="center"/>
          </w:tcPr>
          <w:p w14:paraId="64123752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104" w:type="dxa"/>
            <w:vAlign w:val="center"/>
          </w:tcPr>
          <w:p w14:paraId="29E12EB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04" w:type="dxa"/>
            <w:vAlign w:val="center"/>
          </w:tcPr>
          <w:p w14:paraId="3ECADC5B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1104" w:type="dxa"/>
            <w:vAlign w:val="center"/>
          </w:tcPr>
          <w:p w14:paraId="077464C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104" w:type="dxa"/>
            <w:vAlign w:val="center"/>
          </w:tcPr>
          <w:p w14:paraId="174AF85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105" w:type="dxa"/>
            <w:vAlign w:val="center"/>
          </w:tcPr>
          <w:p w14:paraId="3225F779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CB73F9" w:rsidRPr="004D7434" w14:paraId="0E97A2A2" w14:textId="77777777" w:rsidTr="00E05AA5">
        <w:trPr>
          <w:trHeight w:val="677"/>
        </w:trPr>
        <w:tc>
          <w:tcPr>
            <w:tcW w:w="1700" w:type="dxa"/>
          </w:tcPr>
          <w:p w14:paraId="3FC4372D" w14:textId="5039BC23" w:rsidR="00CB73F9" w:rsidRPr="00CB73F9" w:rsidRDefault="00552BEC" w:rsidP="004D4D6B">
            <w:pPr>
              <w:rPr>
                <w:sz w:val="18"/>
                <w:szCs w:val="18"/>
                <w:lang w:val="lv-LV"/>
              </w:rPr>
            </w:pPr>
            <w:hyperlink r:id="rId11" w:history="1">
              <w:r w:rsidRPr="006515B7">
                <w:rPr>
                  <w:rStyle w:val="Hipersaite"/>
                  <w:sz w:val="18"/>
                  <w:szCs w:val="18"/>
                  <w:lang w:val="lv-LV"/>
                </w:rPr>
                <w:t>www.taiib.gov.lv</w:t>
              </w:r>
            </w:hyperlink>
            <w:r>
              <w:rPr>
                <w:sz w:val="18"/>
                <w:szCs w:val="18"/>
                <w:lang w:val="lv-LV"/>
              </w:rPr>
              <w:t xml:space="preserve"> </w:t>
            </w:r>
            <w:r>
              <w:rPr>
                <w:sz w:val="18"/>
                <w:szCs w:val="18"/>
                <w:lang w:val="lv-LV"/>
              </w:rPr>
              <w:br/>
              <w:t>(sākumlapa)</w:t>
            </w:r>
          </w:p>
        </w:tc>
        <w:tc>
          <w:tcPr>
            <w:tcW w:w="1265" w:type="dxa"/>
          </w:tcPr>
          <w:p w14:paraId="65859A14" w14:textId="128EC9AC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440" w:type="dxa"/>
          </w:tcPr>
          <w:p w14:paraId="5174DE36" w14:textId="205AC3C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450" w:type="dxa"/>
          </w:tcPr>
          <w:p w14:paraId="0B7D9B82" w14:textId="3C6D2F4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67" w:type="dxa"/>
          </w:tcPr>
          <w:p w14:paraId="6CC36E31" w14:textId="1F775B6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33" w:type="dxa"/>
          </w:tcPr>
          <w:p w14:paraId="20672ED6" w14:textId="40FABCA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jaunumu attēli ir arī saites, bet to ALT tekstā izmantoti failu nosaukumi („Jūrmala_Helihopters”, „EMAIIF_2026”, „Dubrovnika_2026_aviācija”, „2026 negadījums </w:t>
            </w:r>
            <w:r>
              <w:rPr>
                <w:sz w:val="20"/>
                <w:szCs w:val="20"/>
                <w:lang w:val="lv-LV"/>
              </w:rPr>
              <w:lastRenderedPageBreak/>
              <w:t>Ādaži”); ekrāna lasītājs tos nolasa kā saites nosaukumus.</w:t>
            </w:r>
          </w:p>
        </w:tc>
        <w:tc>
          <w:tcPr>
            <w:tcW w:w="1146" w:type="dxa"/>
          </w:tcPr>
          <w:p w14:paraId="317C83E9" w14:textId="6E24805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Atbilst</w:t>
            </w:r>
          </w:p>
        </w:tc>
        <w:tc>
          <w:tcPr>
            <w:tcW w:w="1104" w:type="dxa"/>
          </w:tcPr>
          <w:p w14:paraId="10DD5604" w14:textId="095CD830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kājenes blokā „Esi pirmais, kurš uzzina!” un „Piesakies jaunumu saņemšanai…” gaišais teksts izvietots uz izplūdināta fona attēla; </w:t>
            </w:r>
            <w:r>
              <w:rPr>
                <w:sz w:val="20"/>
                <w:szCs w:val="20"/>
                <w:lang w:val="lv-LV"/>
              </w:rPr>
              <w:lastRenderedPageBreak/>
              <w:t>gaišākajās vietās kontrasts ir 3,4–3,8:1 (prasība 4,5:1). Līdzīga problēma ir arī tekstam „Skatīt zemāk”.</w:t>
            </w:r>
          </w:p>
        </w:tc>
        <w:tc>
          <w:tcPr>
            <w:tcW w:w="1104" w:type="dxa"/>
          </w:tcPr>
          <w:p w14:paraId="16399F2A" w14:textId="49DE54AC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Neatbilst – palielinot tikai teksta izmēru līdz 200 % (Zoom Text Only), izvēlnē paliek redzams tikai „Par mums”, pārējie punkti pazūd un parādās horizontāl</w:t>
            </w:r>
            <w:r>
              <w:rPr>
                <w:sz w:val="20"/>
                <w:szCs w:val="20"/>
                <w:lang w:val="lv-LV"/>
              </w:rPr>
              <w:lastRenderedPageBreak/>
              <w:t>ā ritināšana.</w:t>
            </w:r>
          </w:p>
        </w:tc>
        <w:tc>
          <w:tcPr>
            <w:tcW w:w="1104" w:type="dxa"/>
          </w:tcPr>
          <w:p w14:paraId="3B9BBB37" w14:textId="71631CE7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Atbilst</w:t>
            </w:r>
          </w:p>
        </w:tc>
        <w:tc>
          <w:tcPr>
            <w:tcW w:w="1104" w:type="dxa"/>
          </w:tcPr>
          <w:p w14:paraId="606A0638" w14:textId="0258C2A2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norāde „Skatīt zemāk” kustas nepārtraukti un nav apturama; viedtālruņa skatā kājenes baneri automātiski mainās ik pēc 2 sekundēm bez </w:t>
            </w:r>
            <w:r>
              <w:rPr>
                <w:sz w:val="20"/>
                <w:szCs w:val="20"/>
                <w:lang w:val="lv-LV"/>
              </w:rPr>
              <w:lastRenderedPageBreak/>
              <w:t>apturēšanas pogas.</w:t>
            </w:r>
          </w:p>
        </w:tc>
        <w:tc>
          <w:tcPr>
            <w:tcW w:w="1105" w:type="dxa"/>
          </w:tcPr>
          <w:p w14:paraId="5E7D78FE" w14:textId="222F65F1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Nav attiecināms</w:t>
            </w:r>
          </w:p>
        </w:tc>
      </w:tr>
      <w:tr w:rsidR="00CB73F9" w:rsidRPr="004D7434" w14:paraId="247368E7" w14:textId="77777777" w:rsidTr="00E05AA5">
        <w:trPr>
          <w:trHeight w:val="1004"/>
        </w:trPr>
        <w:tc>
          <w:tcPr>
            <w:tcW w:w="1700" w:type="dxa"/>
          </w:tcPr>
          <w:p w14:paraId="6A46EC14" w14:textId="4781A95D" w:rsidR="00CB73F9" w:rsidRPr="00CB73F9" w:rsidRDefault="00552BEC" w:rsidP="004D4D6B">
            <w:pPr>
              <w:rPr>
                <w:sz w:val="18"/>
                <w:szCs w:val="18"/>
                <w:lang w:val="lv-LV"/>
              </w:rPr>
            </w:pPr>
            <w:hyperlink r:id="rId12" w:history="1">
              <w:r w:rsidRPr="006515B7">
                <w:rPr>
                  <w:rStyle w:val="Hipersaite"/>
                  <w:sz w:val="18"/>
                  <w:szCs w:val="18"/>
                  <w:lang w:val="lv-LV"/>
                </w:rPr>
                <w:t>https://www.taiib.gov.lv/lv/pazinosana-par-negadijumu</w:t>
              </w:r>
            </w:hyperlink>
            <w:r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265" w:type="dxa"/>
          </w:tcPr>
          <w:p w14:paraId="3DDBA331" w14:textId="6FD592D2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440" w:type="dxa"/>
          </w:tcPr>
          <w:p w14:paraId="2E10662B" w14:textId="7B2F88EF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daži lapas apgabali ekrāna lasītājam ir angļu valodā („Main navigation second level”, „toolbar”); lapas virsraksts nav galvenajā satura apgabalā.</w:t>
            </w:r>
          </w:p>
        </w:tc>
        <w:tc>
          <w:tcPr>
            <w:tcW w:w="1450" w:type="dxa"/>
          </w:tcPr>
          <w:p w14:paraId="462C5185" w14:textId="023916E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„Atskaņot tekstu” ar tastatūru darbojas nepilnīgi: to var aktivizēt tikai ar Enter, nevis atstarpi; poga „Play” nav sasniedzama ar TAB.</w:t>
            </w:r>
          </w:p>
        </w:tc>
        <w:tc>
          <w:tcPr>
            <w:tcW w:w="1167" w:type="dxa"/>
          </w:tcPr>
          <w:p w14:paraId="2D402340" w14:textId="61A774F3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33" w:type="dxa"/>
          </w:tcPr>
          <w:p w14:paraId="1095101D" w14:textId="703E874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46" w:type="dxa"/>
          </w:tcPr>
          <w:p w14:paraId="4197F569" w14:textId="29D8E2C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virsrakstu secība nav korekta: pēc 1. līmeņa seko 3. līmenis; viens 3. līmeņa virsraksts lietots parastam teikumam, bet viens ir tukšs.</w:t>
            </w:r>
          </w:p>
        </w:tc>
        <w:tc>
          <w:tcPr>
            <w:tcW w:w="1104" w:type="dxa"/>
          </w:tcPr>
          <w:p w14:paraId="7DAEA4EB" w14:textId="0080851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kājenes bloka teksts virs izplūdināta fona attēla, kontrasts gaišākajās vietās 3,4–3,8:1 (kopīgs elements visās lapās).</w:t>
            </w:r>
          </w:p>
        </w:tc>
        <w:tc>
          <w:tcPr>
            <w:tcW w:w="1104" w:type="dxa"/>
          </w:tcPr>
          <w:p w14:paraId="2FF9BB2A" w14:textId="5D7EC847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teksta tālummaiņā 200 % galvenā izvēlne pazūd (redzams tikai „Par mums”, tas pārklājas ar logotipa tekstu), horizontālā ritināšana (kopīgs elements visās lapās).</w:t>
            </w:r>
          </w:p>
        </w:tc>
        <w:tc>
          <w:tcPr>
            <w:tcW w:w="1104" w:type="dxa"/>
          </w:tcPr>
          <w:p w14:paraId="1A8E1466" w14:textId="63D62E7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4" w:type="dxa"/>
          </w:tcPr>
          <w:p w14:paraId="57B1543C" w14:textId="2AC1C5BB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viedtālruņa skatā kājenes </w:t>
            </w:r>
            <w:proofErr w:type="spellStart"/>
            <w:r>
              <w:rPr>
                <w:sz w:val="20"/>
                <w:szCs w:val="20"/>
                <w:lang w:val="lv-LV"/>
              </w:rPr>
              <w:t>baneri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mainās automātiski ik pēc 2 s bez apturēšanas pogas (</w:t>
            </w:r>
            <w:proofErr w:type="spellStart"/>
            <w:r>
              <w:rPr>
                <w:sz w:val="20"/>
                <w:szCs w:val="20"/>
                <w:lang w:val="lv-LV"/>
              </w:rPr>
              <w:t>Escape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rotāciju atsāk, nevis aptur); datorā statiski.</w:t>
            </w:r>
          </w:p>
        </w:tc>
        <w:tc>
          <w:tcPr>
            <w:tcW w:w="1105" w:type="dxa"/>
          </w:tcPr>
          <w:p w14:paraId="48F97111" w14:textId="66CB4E61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teksta nolasīšanas atskaņotāja poga „</w:t>
            </w:r>
            <w:proofErr w:type="spellStart"/>
            <w:r>
              <w:rPr>
                <w:sz w:val="20"/>
                <w:szCs w:val="20"/>
                <w:lang w:val="lv-LV"/>
              </w:rPr>
              <w:t>Play</w:t>
            </w:r>
            <w:proofErr w:type="spellEnd"/>
            <w:r>
              <w:rPr>
                <w:sz w:val="20"/>
                <w:szCs w:val="20"/>
                <w:lang w:val="lv-LV"/>
              </w:rPr>
              <w:t>” nav sasniedzama ar tastatūru un nosaukta angliski („</w:t>
            </w:r>
            <w:proofErr w:type="spellStart"/>
            <w:r>
              <w:rPr>
                <w:sz w:val="20"/>
                <w:szCs w:val="20"/>
                <w:lang w:val="lv-LV"/>
              </w:rPr>
              <w:t>Play</w:t>
            </w:r>
            <w:proofErr w:type="spellEnd"/>
            <w:r>
              <w:rPr>
                <w:sz w:val="20"/>
                <w:szCs w:val="20"/>
                <w:lang w:val="lv-LV"/>
              </w:rPr>
              <w:t>”, „</w:t>
            </w:r>
            <w:proofErr w:type="spellStart"/>
            <w:r>
              <w:rPr>
                <w:sz w:val="20"/>
                <w:szCs w:val="20"/>
                <w:lang w:val="lv-LV"/>
              </w:rPr>
              <w:t>Open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v-LV"/>
              </w:rPr>
              <w:t>Volume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v-LV"/>
              </w:rPr>
              <w:t>Controls</w:t>
            </w:r>
            <w:proofErr w:type="spellEnd"/>
            <w:r>
              <w:rPr>
                <w:sz w:val="20"/>
                <w:szCs w:val="20"/>
                <w:lang w:val="lv-LV"/>
              </w:rPr>
              <w:t>”).</w:t>
            </w:r>
          </w:p>
        </w:tc>
      </w:tr>
      <w:tr w:rsidR="00CB73F9" w:rsidRPr="004D7434" w14:paraId="10FB6C36" w14:textId="77777777" w:rsidTr="00E05AA5">
        <w:trPr>
          <w:trHeight w:val="677"/>
        </w:trPr>
        <w:tc>
          <w:tcPr>
            <w:tcW w:w="1700" w:type="dxa"/>
          </w:tcPr>
          <w:p w14:paraId="7A8C2395" w14:textId="2BBF6D98" w:rsidR="00CB73F9" w:rsidRPr="00CB73F9" w:rsidRDefault="00552BEC" w:rsidP="004D4D6B">
            <w:pPr>
              <w:rPr>
                <w:sz w:val="18"/>
                <w:szCs w:val="18"/>
                <w:lang w:val="lv-LV"/>
              </w:rPr>
            </w:pPr>
            <w:hyperlink r:id="rId13" w:history="1">
              <w:r w:rsidRPr="006515B7">
                <w:rPr>
                  <w:rStyle w:val="Hipersaite"/>
                  <w:sz w:val="18"/>
                  <w:szCs w:val="18"/>
                  <w:lang w:val="lv-LV"/>
                </w:rPr>
                <w:t>https://www.taiib.gov.lv/lv/izmeklesanas-zinojumi</w:t>
              </w:r>
            </w:hyperlink>
          </w:p>
        </w:tc>
        <w:tc>
          <w:tcPr>
            <w:tcW w:w="1265" w:type="dxa"/>
          </w:tcPr>
          <w:p w14:paraId="6D3DF7C6" w14:textId="074C6A8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440" w:type="dxa"/>
          </w:tcPr>
          <w:p w14:paraId="7D574F74" w14:textId="1028E3FB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daži lapas apgabali ekrāna lasītājam ir angļu valodā („Main </w:t>
            </w:r>
            <w:r>
              <w:rPr>
                <w:sz w:val="20"/>
                <w:szCs w:val="20"/>
                <w:lang w:val="lv-LV"/>
              </w:rPr>
              <w:lastRenderedPageBreak/>
              <w:t>navigation second level”, „toolbar”); lapas virsraksts nav galvenajā satura apgabalā.</w:t>
            </w:r>
          </w:p>
        </w:tc>
        <w:tc>
          <w:tcPr>
            <w:tcW w:w="1450" w:type="dxa"/>
          </w:tcPr>
          <w:p w14:paraId="198FFDF8" w14:textId="31FB64B0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 xml:space="preserve">Neatbilst – „Atskaņot tekstu” ar tastatūru darbojas nepilnīgi: to var aktivizēt </w:t>
            </w:r>
            <w:r>
              <w:rPr>
                <w:sz w:val="20"/>
                <w:szCs w:val="20"/>
                <w:lang w:val="lv-LV"/>
              </w:rPr>
              <w:lastRenderedPageBreak/>
              <w:t>tikai ar Enter, nevis atstarpi; poga „Play” nav sasniedzama ar TAB.</w:t>
            </w:r>
          </w:p>
        </w:tc>
        <w:tc>
          <w:tcPr>
            <w:tcW w:w="1167" w:type="dxa"/>
          </w:tcPr>
          <w:p w14:paraId="440ECB11" w14:textId="3B69BBBF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Atbilst</w:t>
            </w:r>
          </w:p>
        </w:tc>
        <w:tc>
          <w:tcPr>
            <w:tcW w:w="1233" w:type="dxa"/>
          </w:tcPr>
          <w:p w14:paraId="069118F5" w14:textId="62545724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46" w:type="dxa"/>
          </w:tcPr>
          <w:p w14:paraId="077710F3" w14:textId="589FE83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trīs sadaļu virsrakstiem pēc 1. līmeņa uzreiz izmantots </w:t>
            </w:r>
            <w:r>
              <w:rPr>
                <w:sz w:val="20"/>
                <w:szCs w:val="20"/>
                <w:lang w:val="lv-LV"/>
              </w:rPr>
              <w:lastRenderedPageBreak/>
              <w:t>3. līmenis, izlaižot 2. līmeni.</w:t>
            </w:r>
          </w:p>
        </w:tc>
        <w:tc>
          <w:tcPr>
            <w:tcW w:w="1104" w:type="dxa"/>
          </w:tcPr>
          <w:p w14:paraId="7DD1F89D" w14:textId="099CE558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 xml:space="preserve">Neatbilst – kājenes bloka teksts virs izplūdināta fona attēla, </w:t>
            </w:r>
            <w:r>
              <w:rPr>
                <w:sz w:val="20"/>
                <w:szCs w:val="20"/>
                <w:lang w:val="lv-LV"/>
              </w:rPr>
              <w:lastRenderedPageBreak/>
              <w:t>kontrasts gaišākajās vietās 3,4–3,8:1 (kopīgs elements visās lapās).</w:t>
            </w:r>
          </w:p>
        </w:tc>
        <w:tc>
          <w:tcPr>
            <w:tcW w:w="1104" w:type="dxa"/>
          </w:tcPr>
          <w:p w14:paraId="7B3BA408" w14:textId="63172680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 xml:space="preserve">Neatbilst – teksta tālummaiņā 200 % galvenā izvēlne pazūd </w:t>
            </w:r>
            <w:r>
              <w:rPr>
                <w:sz w:val="20"/>
                <w:szCs w:val="20"/>
                <w:lang w:val="lv-LV"/>
              </w:rPr>
              <w:lastRenderedPageBreak/>
              <w:t>(redzams tikai „Par mums”, tas pārklājas ar logotipa tekstu), horizontālā ritināšana (kopīgs elements visās lapās).</w:t>
            </w:r>
          </w:p>
        </w:tc>
        <w:tc>
          <w:tcPr>
            <w:tcW w:w="1104" w:type="dxa"/>
          </w:tcPr>
          <w:p w14:paraId="3A10B0A1" w14:textId="0A2CEBEC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Atbilst</w:t>
            </w:r>
          </w:p>
        </w:tc>
        <w:tc>
          <w:tcPr>
            <w:tcW w:w="1104" w:type="dxa"/>
          </w:tcPr>
          <w:p w14:paraId="2D54F5B8" w14:textId="78637407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viedtālruņa skatā kājenes </w:t>
            </w:r>
            <w:proofErr w:type="spellStart"/>
            <w:r>
              <w:rPr>
                <w:sz w:val="20"/>
                <w:szCs w:val="20"/>
                <w:lang w:val="lv-LV"/>
              </w:rPr>
              <w:t>baneri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mainās automātis</w:t>
            </w:r>
            <w:r>
              <w:rPr>
                <w:sz w:val="20"/>
                <w:szCs w:val="20"/>
                <w:lang w:val="lv-LV"/>
              </w:rPr>
              <w:lastRenderedPageBreak/>
              <w:t>ki ik pēc 2 s bez apturēšanas pogas (</w:t>
            </w:r>
            <w:proofErr w:type="spellStart"/>
            <w:r>
              <w:rPr>
                <w:sz w:val="20"/>
                <w:szCs w:val="20"/>
                <w:lang w:val="lv-LV"/>
              </w:rPr>
              <w:t>Escape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rotāciju atsāk, nevis aptur); datorā statiski.</w:t>
            </w:r>
          </w:p>
        </w:tc>
        <w:tc>
          <w:tcPr>
            <w:tcW w:w="1105" w:type="dxa"/>
          </w:tcPr>
          <w:p w14:paraId="2F635688" w14:textId="1A6732B2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lastRenderedPageBreak/>
              <w:t>Neatbilst – teksta nolasīšanas atskaņotāja poga „</w:t>
            </w:r>
            <w:proofErr w:type="spellStart"/>
            <w:r>
              <w:rPr>
                <w:sz w:val="20"/>
                <w:szCs w:val="20"/>
                <w:lang w:val="lv-LV"/>
              </w:rPr>
              <w:t>Play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” nav </w:t>
            </w:r>
            <w:r>
              <w:rPr>
                <w:sz w:val="20"/>
                <w:szCs w:val="20"/>
                <w:lang w:val="lv-LV"/>
              </w:rPr>
              <w:lastRenderedPageBreak/>
              <w:t>sasniedzama ar tastatūru un nosaukta angliski („</w:t>
            </w:r>
            <w:proofErr w:type="spellStart"/>
            <w:r>
              <w:rPr>
                <w:sz w:val="20"/>
                <w:szCs w:val="20"/>
                <w:lang w:val="lv-LV"/>
              </w:rPr>
              <w:t>Play</w:t>
            </w:r>
            <w:proofErr w:type="spellEnd"/>
            <w:r>
              <w:rPr>
                <w:sz w:val="20"/>
                <w:szCs w:val="20"/>
                <w:lang w:val="lv-LV"/>
              </w:rPr>
              <w:t>”, „</w:t>
            </w:r>
            <w:proofErr w:type="spellStart"/>
            <w:r>
              <w:rPr>
                <w:sz w:val="20"/>
                <w:szCs w:val="20"/>
                <w:lang w:val="lv-LV"/>
              </w:rPr>
              <w:t>Open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v-LV"/>
              </w:rPr>
              <w:t>Volume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v-LV"/>
              </w:rPr>
              <w:t>Controls</w:t>
            </w:r>
            <w:proofErr w:type="spellEnd"/>
            <w:r>
              <w:rPr>
                <w:sz w:val="20"/>
                <w:szCs w:val="20"/>
                <w:lang w:val="lv-LV"/>
              </w:rPr>
              <w:t>”).</w:t>
            </w:r>
          </w:p>
        </w:tc>
      </w:tr>
      <w:tr w:rsidR="00CB73F9" w:rsidRPr="004D7434" w14:paraId="0601AC9A" w14:textId="77777777" w:rsidTr="00E05AA5">
        <w:trPr>
          <w:trHeight w:val="4767"/>
        </w:trPr>
        <w:tc>
          <w:tcPr>
            <w:tcW w:w="1700" w:type="dxa"/>
          </w:tcPr>
          <w:p w14:paraId="18730E10" w14:textId="484C8456" w:rsidR="00CB73F9" w:rsidRPr="00CB73F9" w:rsidRDefault="00552BEC" w:rsidP="004D4D6B">
            <w:pPr>
              <w:rPr>
                <w:sz w:val="18"/>
                <w:szCs w:val="18"/>
                <w:lang w:val="lv-LV"/>
              </w:rPr>
            </w:pPr>
            <w:hyperlink r:id="rId14" w:history="1">
              <w:r w:rsidRPr="006515B7">
                <w:rPr>
                  <w:rStyle w:val="Hipersaite"/>
                  <w:sz w:val="18"/>
                  <w:szCs w:val="18"/>
                  <w:lang w:val="lv-LV"/>
                </w:rPr>
                <w:t>https://www.taiib.gov.lv/lv/jaunumi</w:t>
              </w:r>
            </w:hyperlink>
            <w:r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265" w:type="dxa"/>
          </w:tcPr>
          <w:p w14:paraId="10EF495E" w14:textId="7D13F132" w:rsidR="00CB73F9" w:rsidRPr="00E05AA5" w:rsidRDefault="00BD51E2" w:rsidP="004D4D6B">
            <w:pPr>
              <w:rPr>
                <w:sz w:val="20"/>
                <w:szCs w:val="20"/>
                <w:lang w:val="lv-LV"/>
              </w:rPr>
            </w:pPr>
            <w:r w:rsidRPr="00E05AA5">
              <w:rPr>
                <w:sz w:val="20"/>
                <w:szCs w:val="20"/>
                <w:lang w:val="lv-LV"/>
              </w:rPr>
              <w:t xml:space="preserve">Atbilst </w:t>
            </w:r>
          </w:p>
        </w:tc>
        <w:tc>
          <w:tcPr>
            <w:tcW w:w="1440" w:type="dxa"/>
          </w:tcPr>
          <w:p w14:paraId="46DE4E8D" w14:textId="0E196CB3" w:rsidR="00CB73F9" w:rsidRPr="00E05AA5" w:rsidRDefault="00BD51E2" w:rsidP="004D4D6B">
            <w:pPr>
              <w:rPr>
                <w:sz w:val="20"/>
                <w:szCs w:val="20"/>
                <w:lang w:val="lv-LV"/>
              </w:rPr>
            </w:pPr>
            <w:r w:rsidRPr="00E05AA5">
              <w:rPr>
                <w:sz w:val="20"/>
                <w:szCs w:val="20"/>
                <w:lang w:val="lv-LV"/>
              </w:rPr>
              <w:t>Neatbilst – lapas rīku apgabals ekrāna lasītājam nosaukts angliski („toolbar”); lapošanas saraksta struktūra nav korekta; lapas virsraksts nav galvenajā satura apgabalā.</w:t>
            </w:r>
          </w:p>
        </w:tc>
        <w:tc>
          <w:tcPr>
            <w:tcW w:w="1450" w:type="dxa"/>
          </w:tcPr>
          <w:p w14:paraId="597841ED" w14:textId="6D9E6E3A" w:rsidR="00CB73F9" w:rsidRPr="00E05AA5" w:rsidRDefault="00BD51E2" w:rsidP="004D4D6B">
            <w:pPr>
              <w:rPr>
                <w:sz w:val="20"/>
                <w:szCs w:val="20"/>
                <w:lang w:val="lv-LV"/>
              </w:rPr>
            </w:pPr>
            <w:r w:rsidRPr="00E05AA5">
              <w:rPr>
                <w:sz w:val="20"/>
                <w:szCs w:val="20"/>
                <w:lang w:val="lv-LV"/>
              </w:rPr>
              <w:t>Neatbilst – kategoriju filtra pārslēgam nav redzama fokusa atzīme un tas nav atpazīstams kā poga; datuma kalendārs pēc atvēršanas paliek virs relīžu saraksta, un tā pogas ar tastatūru nav sasniedzamas.</w:t>
            </w:r>
          </w:p>
        </w:tc>
        <w:tc>
          <w:tcPr>
            <w:tcW w:w="1167" w:type="dxa"/>
          </w:tcPr>
          <w:p w14:paraId="7585FE9B" w14:textId="3DBC2CA1" w:rsidR="00CB73F9" w:rsidRPr="0037184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ekrāna lasītājs abām izvēles rūtiņām nolasa vienādu tekstu „Pievienojiet kategoriju filtru”; datuma laukiem nav norādīts ievades formāts; „Notīrīt filtrus” nosaukts angliski; poga „Atlasīt” paslēpta.</w:t>
            </w:r>
          </w:p>
        </w:tc>
        <w:tc>
          <w:tcPr>
            <w:tcW w:w="1233" w:type="dxa"/>
          </w:tcPr>
          <w:p w14:paraId="30857486" w14:textId="7708EADC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relīžu attēli ir arī saites, bet to alternatīvajā tekstā izmantoti failu nosaukumi („dzewlzceļa dep_audits_2026”, „PA safe Tallina 2026”, „Uzmanību.” u.c.).</w:t>
            </w:r>
          </w:p>
        </w:tc>
        <w:tc>
          <w:tcPr>
            <w:tcW w:w="1146" w:type="dxa"/>
          </w:tcPr>
          <w:p w14:paraId="0AD40808" w14:textId="2C26F9F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4" w:type="dxa"/>
          </w:tcPr>
          <w:p w14:paraId="0344DC19" w14:textId="6E50AFA1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kājenes tekstam uz izplūdināta fona attēla gaišākajās vietās kontrasts ir 3,4–3,8:1 (kopīgs elements); filtru ievades lauku apmaļu kontrasts pret balto fonu ir 1,4:1.</w:t>
            </w:r>
          </w:p>
        </w:tc>
        <w:tc>
          <w:tcPr>
            <w:tcW w:w="1104" w:type="dxa"/>
          </w:tcPr>
          <w:p w14:paraId="03BC5F9C" w14:textId="3080ECE5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teksta tālummaiņā 200 % galvenā izvēlne pazūd, </w:t>
            </w:r>
            <w:r w:rsidR="00F1327A">
              <w:rPr>
                <w:sz w:val="20"/>
                <w:szCs w:val="20"/>
                <w:lang w:val="lv-LV"/>
              </w:rPr>
              <w:t xml:space="preserve">tiek </w:t>
            </w:r>
            <w:proofErr w:type="spellStart"/>
            <w:r w:rsidR="00F1327A">
              <w:rPr>
                <w:sz w:val="20"/>
                <w:szCs w:val="20"/>
                <w:lang w:val="lv-LV"/>
              </w:rPr>
              <w:t>piedāvāta</w:t>
            </w:r>
            <w:r>
              <w:rPr>
                <w:sz w:val="20"/>
                <w:szCs w:val="20"/>
                <w:lang w:val="lv-LV"/>
              </w:rPr>
              <w:t>horizontālā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ritināšan</w:t>
            </w:r>
            <w:r w:rsidR="00F1327A">
              <w:rPr>
                <w:sz w:val="20"/>
                <w:szCs w:val="20"/>
                <w:lang w:val="lv-LV"/>
              </w:rPr>
              <w:t xml:space="preserve">a </w:t>
            </w:r>
            <w:r>
              <w:rPr>
                <w:sz w:val="20"/>
                <w:szCs w:val="20"/>
                <w:lang w:val="lv-LV"/>
              </w:rPr>
              <w:t>; lauka nosaukums „Datums no” pārklāj lauka vērtību.</w:t>
            </w:r>
          </w:p>
        </w:tc>
        <w:tc>
          <w:tcPr>
            <w:tcW w:w="1104" w:type="dxa"/>
          </w:tcPr>
          <w:p w14:paraId="6CACA3CF" w14:textId="3666E7B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4" w:type="dxa"/>
          </w:tcPr>
          <w:p w14:paraId="36153F9D" w14:textId="24D4044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viedtālruņa skatā kājenes </w:t>
            </w:r>
            <w:proofErr w:type="spellStart"/>
            <w:r>
              <w:rPr>
                <w:sz w:val="20"/>
                <w:szCs w:val="20"/>
                <w:lang w:val="lv-LV"/>
              </w:rPr>
              <w:t>baneri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mainās automātiski ik pēc 2 s bez apturēšanas pogas (</w:t>
            </w:r>
            <w:proofErr w:type="spellStart"/>
            <w:r>
              <w:rPr>
                <w:sz w:val="20"/>
                <w:szCs w:val="20"/>
                <w:lang w:val="lv-LV"/>
              </w:rPr>
              <w:t>Escape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rotāciju atsāk, nevis aptur); datorā statiski.</w:t>
            </w:r>
          </w:p>
        </w:tc>
        <w:tc>
          <w:tcPr>
            <w:tcW w:w="1105" w:type="dxa"/>
          </w:tcPr>
          <w:p w14:paraId="68364BAA" w14:textId="74B5562F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205D1867" w14:textId="77777777" w:rsidTr="00E05AA5">
        <w:trPr>
          <w:trHeight w:val="677"/>
        </w:trPr>
        <w:tc>
          <w:tcPr>
            <w:tcW w:w="1700" w:type="dxa"/>
          </w:tcPr>
          <w:p w14:paraId="09473C62" w14:textId="215234ED" w:rsidR="00CB73F9" w:rsidRPr="00CB73F9" w:rsidRDefault="00552BEC" w:rsidP="004D4D6B">
            <w:pPr>
              <w:rPr>
                <w:sz w:val="18"/>
                <w:szCs w:val="18"/>
                <w:lang w:val="lv-LV"/>
              </w:rPr>
            </w:pPr>
            <w:hyperlink r:id="rId15" w:history="1">
              <w:r w:rsidRPr="006515B7">
                <w:rPr>
                  <w:rStyle w:val="Hipersaite"/>
                  <w:sz w:val="18"/>
                  <w:szCs w:val="18"/>
                  <w:lang w:val="lv-LV"/>
                </w:rPr>
                <w:t>https://www.taiib.gov.lv/lv/budzets</w:t>
              </w:r>
            </w:hyperlink>
            <w:r>
              <w:rPr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1265" w:type="dxa"/>
          </w:tcPr>
          <w:p w14:paraId="0CE42411" w14:textId="1547F858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440" w:type="dxa"/>
          </w:tcPr>
          <w:p w14:paraId="274856F3" w14:textId="29B1A305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daži lapas apgabali ekrāna lasītājam ir angļu valodā („Main navigation second level”, „toolbar”); lapas virsraksts nav galvenajā satura apgabalā.</w:t>
            </w:r>
          </w:p>
        </w:tc>
        <w:tc>
          <w:tcPr>
            <w:tcW w:w="1450" w:type="dxa"/>
          </w:tcPr>
          <w:p w14:paraId="1D3C79A7" w14:textId="25A9C5BF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trīs izvēršamo sadaļu virsraksti nav korekti atpazīstami kā pogas; ekrāna lasītājs nepaziņo, ka tos var izvērst; ar tastatūru tie atveras tikai ar </w:t>
            </w:r>
            <w:proofErr w:type="spellStart"/>
            <w:r>
              <w:rPr>
                <w:sz w:val="20"/>
                <w:szCs w:val="20"/>
                <w:lang w:val="lv-LV"/>
              </w:rPr>
              <w:t>Enter</w:t>
            </w:r>
            <w:proofErr w:type="spellEnd"/>
            <w:r>
              <w:rPr>
                <w:sz w:val="20"/>
                <w:szCs w:val="20"/>
                <w:lang w:val="lv-LV"/>
              </w:rPr>
              <w:t>, nevis atstarpi.</w:t>
            </w:r>
          </w:p>
        </w:tc>
        <w:tc>
          <w:tcPr>
            <w:tcW w:w="1167" w:type="dxa"/>
          </w:tcPr>
          <w:p w14:paraId="3413B92F" w14:textId="1E6C52FA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33" w:type="dxa"/>
          </w:tcPr>
          <w:p w14:paraId="73B41EC8" w14:textId="3CB806CE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46" w:type="dxa"/>
          </w:tcPr>
          <w:p w14:paraId="600DCF46" w14:textId="7AE9D95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4" w:type="dxa"/>
          </w:tcPr>
          <w:p w14:paraId="0CD58A92" w14:textId="7843A389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kājenes bloka teksts virs izplūdināta fona attēla, kontrasts gaišākajās vietās 3,4–3,8:1 (kopīgs elements visās lapās).</w:t>
            </w:r>
          </w:p>
        </w:tc>
        <w:tc>
          <w:tcPr>
            <w:tcW w:w="1104" w:type="dxa"/>
          </w:tcPr>
          <w:p w14:paraId="7731CA38" w14:textId="55E5C32B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Neatbilst – teksta tālummaiņā 200 % galvenā izvēlne pazūd (redzams tikai „Par mums”, tas pārklājas ar logotipa tekstu), horizontālā ritināšana (kopīgs elements visās lapās).</w:t>
            </w:r>
          </w:p>
        </w:tc>
        <w:tc>
          <w:tcPr>
            <w:tcW w:w="1104" w:type="dxa"/>
          </w:tcPr>
          <w:p w14:paraId="4C27B59D" w14:textId="6A7D20F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4" w:type="dxa"/>
          </w:tcPr>
          <w:p w14:paraId="2A6F17D6" w14:textId="5D665D20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Neatbilst – viedtālruņa skatā kājenes </w:t>
            </w:r>
            <w:proofErr w:type="spellStart"/>
            <w:r>
              <w:rPr>
                <w:sz w:val="20"/>
                <w:szCs w:val="20"/>
                <w:lang w:val="lv-LV"/>
              </w:rPr>
              <w:t>baneri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mainās automātiski ik pēc 2 s bez apturēšanas pogas (</w:t>
            </w:r>
            <w:proofErr w:type="spellStart"/>
            <w:r>
              <w:rPr>
                <w:sz w:val="20"/>
                <w:szCs w:val="20"/>
                <w:lang w:val="lv-LV"/>
              </w:rPr>
              <w:t>Escape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rotāciju atsāk, nevis aptur); datorā statiski.</w:t>
            </w:r>
          </w:p>
        </w:tc>
        <w:tc>
          <w:tcPr>
            <w:tcW w:w="1105" w:type="dxa"/>
          </w:tcPr>
          <w:p w14:paraId="02F23161" w14:textId="3B0F73B6" w:rsidR="00CB73F9" w:rsidRPr="00CB73F9" w:rsidRDefault="00BD51E2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Nav attiecināms</w:t>
            </w:r>
          </w:p>
        </w:tc>
      </w:tr>
    </w:tbl>
    <w:p w14:paraId="4DB12987" w14:textId="77777777" w:rsidR="00294E91" w:rsidRDefault="00294E91" w:rsidP="00294E91">
      <w:p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 xml:space="preserve">Pārbaude veikta izmantojot rīkus </w:t>
      </w:r>
      <w:proofErr w:type="spellStart"/>
      <w:r w:rsidRPr="00294E91">
        <w:rPr>
          <w:rFonts w:cstheme="minorHAnsi"/>
          <w:lang w:val="lv-LV"/>
        </w:rPr>
        <w:t>Wave</w:t>
      </w:r>
      <w:proofErr w:type="spellEnd"/>
      <w:r w:rsidRPr="00294E91">
        <w:rPr>
          <w:rFonts w:cstheme="minorHAnsi"/>
          <w:lang w:val="lv-LV"/>
        </w:rPr>
        <w:t xml:space="preserve">, Alt </w:t>
      </w:r>
      <w:proofErr w:type="spellStart"/>
      <w:r w:rsidRPr="00294E91">
        <w:rPr>
          <w:rFonts w:cstheme="minorHAnsi"/>
          <w:lang w:val="lv-LV"/>
        </w:rPr>
        <w:t>Text</w:t>
      </w:r>
      <w:proofErr w:type="spellEnd"/>
      <w:r w:rsidRPr="00294E91">
        <w:rPr>
          <w:rFonts w:cstheme="minorHAnsi"/>
          <w:lang w:val="lv-LV"/>
        </w:rPr>
        <w:t xml:space="preserve"> </w:t>
      </w:r>
      <w:proofErr w:type="spellStart"/>
      <w:r w:rsidRPr="00294E91">
        <w:rPr>
          <w:rFonts w:cstheme="minorHAnsi"/>
          <w:lang w:val="lv-LV"/>
        </w:rPr>
        <w:t>Tester</w:t>
      </w:r>
      <w:proofErr w:type="spellEnd"/>
      <w:r w:rsidRPr="00294E91">
        <w:rPr>
          <w:rFonts w:cstheme="minorHAnsi"/>
          <w:lang w:val="lv-LV"/>
        </w:rPr>
        <w:t xml:space="preserve">, WCAG </w:t>
      </w:r>
      <w:proofErr w:type="spellStart"/>
      <w:r w:rsidRPr="00294E91">
        <w:rPr>
          <w:rFonts w:cstheme="minorHAnsi"/>
          <w:lang w:val="lv-LV"/>
        </w:rPr>
        <w:t>Contrast</w:t>
      </w:r>
      <w:proofErr w:type="spellEnd"/>
      <w:r w:rsidRPr="00294E91">
        <w:rPr>
          <w:rFonts w:cstheme="minorHAnsi"/>
          <w:lang w:val="lv-LV"/>
        </w:rPr>
        <w:t xml:space="preserve"> </w:t>
      </w:r>
      <w:proofErr w:type="spellStart"/>
      <w:r w:rsidRPr="00294E91">
        <w:rPr>
          <w:rFonts w:cstheme="minorHAnsi"/>
          <w:lang w:val="lv-LV"/>
        </w:rPr>
        <w:t>checker</w:t>
      </w:r>
      <w:proofErr w:type="spellEnd"/>
      <w:r w:rsidRPr="00294E91">
        <w:rPr>
          <w:rFonts w:cstheme="minorHAnsi"/>
          <w:lang w:val="lv-LV"/>
        </w:rPr>
        <w:t xml:space="preserve"> un </w:t>
      </w:r>
      <w:proofErr w:type="spellStart"/>
      <w:r w:rsidRPr="00294E91">
        <w:rPr>
          <w:rFonts w:cstheme="minorHAnsi"/>
          <w:lang w:val="lv-LV"/>
        </w:rPr>
        <w:t>Accessibility</w:t>
      </w:r>
      <w:proofErr w:type="spellEnd"/>
      <w:r w:rsidRPr="00294E91">
        <w:rPr>
          <w:rFonts w:cstheme="minorHAnsi"/>
          <w:lang w:val="lv-LV"/>
        </w:rPr>
        <w:t xml:space="preserve"> </w:t>
      </w:r>
      <w:proofErr w:type="spellStart"/>
      <w:r w:rsidRPr="00294E91">
        <w:rPr>
          <w:rFonts w:cstheme="minorHAnsi"/>
          <w:lang w:val="lv-LV"/>
        </w:rPr>
        <w:t>Insights</w:t>
      </w:r>
      <w:proofErr w:type="spellEnd"/>
      <w:r w:rsidRPr="00294E91">
        <w:rPr>
          <w:rFonts w:cstheme="minorHAnsi"/>
          <w:lang w:val="lv-LV"/>
        </w:rPr>
        <w:t xml:space="preserve"> </w:t>
      </w:r>
      <w:proofErr w:type="spellStart"/>
      <w:r w:rsidRPr="00294E91">
        <w:rPr>
          <w:rFonts w:cstheme="minorHAnsi"/>
          <w:lang w:val="lv-LV"/>
        </w:rPr>
        <w:t>for</w:t>
      </w:r>
      <w:proofErr w:type="spellEnd"/>
      <w:r w:rsidRPr="00294E91">
        <w:rPr>
          <w:rFonts w:cstheme="minorHAnsi"/>
          <w:lang w:val="lv-LV"/>
        </w:rPr>
        <w:t xml:space="preserve"> </w:t>
      </w:r>
      <w:proofErr w:type="spellStart"/>
      <w:r w:rsidRPr="00294E91">
        <w:rPr>
          <w:rFonts w:cstheme="minorHAnsi"/>
          <w:lang w:val="lv-LV"/>
        </w:rPr>
        <w:t>Web</w:t>
      </w:r>
      <w:proofErr w:type="spellEnd"/>
      <w:r w:rsidRPr="00294E91">
        <w:rPr>
          <w:rFonts w:cstheme="minorHAnsi"/>
          <w:lang w:val="lv-LV"/>
        </w:rPr>
        <w:t xml:space="preserve">, </w:t>
      </w:r>
      <w:proofErr w:type="spellStart"/>
      <w:r w:rsidRPr="00294E91">
        <w:rPr>
          <w:rFonts w:cstheme="minorHAnsi"/>
          <w:lang w:val="lv-LV"/>
        </w:rPr>
        <w:t>HeadingsMap</w:t>
      </w:r>
      <w:proofErr w:type="spellEnd"/>
      <w:r w:rsidRPr="00294E91">
        <w:rPr>
          <w:rFonts w:cstheme="minorHAnsi"/>
          <w:lang w:val="lv-LV"/>
        </w:rPr>
        <w:t xml:space="preserve">. </w:t>
      </w:r>
    </w:p>
    <w:p w14:paraId="55E88524" w14:textId="77777777" w:rsidR="00294E91" w:rsidRPr="00294E91" w:rsidRDefault="00294E91" w:rsidP="00294E91">
      <w:p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b/>
          <w:bCs/>
          <w:lang w:val="lv-LV"/>
        </w:rPr>
        <w:t>Birojs var novērst šādas neatbilstības:</w:t>
      </w:r>
    </w:p>
    <w:p w14:paraId="544889EC" w14:textId="77777777" w:rsidR="00294E91" w:rsidRPr="00294E91" w:rsidRDefault="00294E91" w:rsidP="00294E91">
      <w:pPr>
        <w:numPr>
          <w:ilvl w:val="0"/>
          <w:numId w:val="63"/>
        </w:num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>jaunumu attēliem precizēt alternatīvos tekstus, failu nosaukumus aizstājot ar saprotamiem attēlu aprakstiem;</w:t>
      </w:r>
    </w:p>
    <w:p w14:paraId="7DE00663" w14:textId="63280643" w:rsidR="00294E91" w:rsidRPr="00294E91" w:rsidRDefault="00294E91" w:rsidP="00294E91">
      <w:pPr>
        <w:numPr>
          <w:ilvl w:val="0"/>
          <w:numId w:val="63"/>
        </w:num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>sakārtot Biroja ievadītā satura virsrakstu līmeņu hierarhiju.</w:t>
      </w:r>
    </w:p>
    <w:p w14:paraId="1661F423" w14:textId="77777777" w:rsidR="00294E91" w:rsidRPr="00294E91" w:rsidRDefault="00294E91" w:rsidP="00294E91">
      <w:p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b/>
          <w:bCs/>
          <w:lang w:val="lv-LV"/>
        </w:rPr>
        <w:t>Birojs nevar patstāvīgi novērst šādas neatbilstības:</w:t>
      </w:r>
    </w:p>
    <w:p w14:paraId="46DF930B" w14:textId="77777777" w:rsidR="00294E91" w:rsidRPr="00294E91" w:rsidRDefault="00294E91" w:rsidP="00294E91">
      <w:pPr>
        <w:numPr>
          <w:ilvl w:val="0"/>
          <w:numId w:val="64"/>
        </w:num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>tastatūras navigācijas, fokusa un ekrāna lasītāju darbības nepilnības;</w:t>
      </w:r>
    </w:p>
    <w:p w14:paraId="0A18ECE8" w14:textId="77777777" w:rsidR="00294E91" w:rsidRPr="00294E91" w:rsidRDefault="00294E91" w:rsidP="00294E91">
      <w:pPr>
        <w:numPr>
          <w:ilvl w:val="0"/>
          <w:numId w:val="64"/>
        </w:num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 xml:space="preserve">sistēmas ģenerēto elementu, filtru, datuma lauku, teksta atskaņotāja un izvēršamo sadaļu </w:t>
      </w:r>
      <w:proofErr w:type="spellStart"/>
      <w:r w:rsidRPr="00294E91">
        <w:rPr>
          <w:rFonts w:cstheme="minorHAnsi"/>
          <w:lang w:val="lv-LV"/>
        </w:rPr>
        <w:t>piekļūstamības</w:t>
      </w:r>
      <w:proofErr w:type="spellEnd"/>
      <w:r w:rsidRPr="00294E91">
        <w:rPr>
          <w:rFonts w:cstheme="minorHAnsi"/>
          <w:lang w:val="lv-LV"/>
        </w:rPr>
        <w:t xml:space="preserve"> nepilnības;</w:t>
      </w:r>
    </w:p>
    <w:p w14:paraId="794546EF" w14:textId="77777777" w:rsidR="00294E91" w:rsidRPr="00294E91" w:rsidRDefault="00294E91" w:rsidP="00294E91">
      <w:pPr>
        <w:numPr>
          <w:ilvl w:val="0"/>
          <w:numId w:val="64"/>
        </w:num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>krāsu kontrasta, teksta palielināšanas un automātiski kustīga satura darbības nepilnības.</w:t>
      </w:r>
    </w:p>
    <w:p w14:paraId="71BF4A0A" w14:textId="77777777" w:rsidR="00294E91" w:rsidRPr="00294E91" w:rsidRDefault="00294E91" w:rsidP="00294E91">
      <w:pPr>
        <w:spacing w:before="120" w:after="120" w:line="240" w:lineRule="auto"/>
        <w:jc w:val="both"/>
        <w:rPr>
          <w:rFonts w:cstheme="minorHAnsi"/>
          <w:lang w:val="lv-LV"/>
        </w:rPr>
      </w:pPr>
      <w:r w:rsidRPr="00294E91">
        <w:rPr>
          <w:rFonts w:cstheme="minorHAnsi"/>
          <w:lang w:val="lv-LV"/>
        </w:rPr>
        <w:t>Lai novērstu minētās tehniskās neatbilstības, nepieciešams vērsties pie tīmekļvietnes vienotās platformas uzturētājiem.</w:t>
      </w:r>
    </w:p>
    <w:p w14:paraId="2F7F7222" w14:textId="139942AC" w:rsidR="00CB73F9" w:rsidRPr="00CB73F9" w:rsidRDefault="00CB73F9" w:rsidP="00294E91">
      <w:pPr>
        <w:spacing w:before="120" w:after="120" w:line="240" w:lineRule="auto"/>
        <w:jc w:val="both"/>
        <w:rPr>
          <w:rFonts w:cstheme="minorHAnsi"/>
          <w:lang w:val="lv-LV"/>
        </w:rPr>
      </w:pPr>
    </w:p>
    <w:p w14:paraId="31334765" w14:textId="73037FDC" w:rsidR="00A83638" w:rsidRPr="003D7843" w:rsidRDefault="00CB73F9" w:rsidP="00CB73F9">
      <w:pPr>
        <w:spacing w:before="120" w:after="120" w:line="360" w:lineRule="auto"/>
        <w:jc w:val="both"/>
        <w:rPr>
          <w:b/>
          <w:bCs/>
          <w:lang w:val="lv-LV"/>
        </w:rPr>
      </w:pPr>
      <w:r w:rsidRPr="003D7843">
        <w:rPr>
          <w:rFonts w:cstheme="minorHAnsi"/>
          <w:b/>
          <w:bCs/>
          <w:lang w:val="lv-LV"/>
        </w:rPr>
        <w:t>Pārbaudi apstiprināja (vārds, uzvārds, amats):</w:t>
      </w:r>
      <w:r w:rsidRPr="003D7843">
        <w:rPr>
          <w:b/>
          <w:bCs/>
          <w:lang w:val="lv-LV"/>
        </w:rPr>
        <w:t xml:space="preserve">  </w:t>
      </w:r>
      <w:r w:rsidR="003D7843" w:rsidRPr="003D7843">
        <w:rPr>
          <w:b/>
          <w:bCs/>
          <w:lang w:val="lv-LV"/>
        </w:rPr>
        <w:t>Uldis Reimanis, Transporta nelaimes gadījumu un incidentu izmeklēšanas biroja direktors</w:t>
      </w:r>
    </w:p>
    <w:p w14:paraId="0727BEDC" w14:textId="197C8847" w:rsidR="00CB73F9" w:rsidRPr="00CB73F9" w:rsidRDefault="00CB73F9" w:rsidP="00CB73F9">
      <w:pPr>
        <w:jc w:val="both"/>
        <w:rPr>
          <w:rFonts w:cstheme="minorHAnsi"/>
          <w:sz w:val="18"/>
          <w:szCs w:val="18"/>
          <w:lang w:val="lv-LV"/>
        </w:rPr>
      </w:pPr>
      <w:r w:rsidRPr="00CB73F9">
        <w:rPr>
          <w:rFonts w:cstheme="minorHAnsi"/>
          <w:sz w:val="18"/>
          <w:szCs w:val="18"/>
          <w:lang w:val="lv-LV"/>
        </w:rPr>
        <w:t xml:space="preserve">* Pārbaudes protokolu </w:t>
      </w:r>
      <w:r w:rsidR="00D45C1D">
        <w:rPr>
          <w:rFonts w:cstheme="minorHAnsi"/>
          <w:sz w:val="18"/>
          <w:szCs w:val="18"/>
          <w:lang w:val="lv-LV"/>
        </w:rPr>
        <w:t xml:space="preserve">apstiprina </w:t>
      </w:r>
      <w:r w:rsidRPr="00CB73F9">
        <w:rPr>
          <w:rFonts w:cstheme="minorHAnsi"/>
          <w:sz w:val="18"/>
          <w:szCs w:val="18"/>
          <w:lang w:val="lv-LV"/>
        </w:rPr>
        <w:t>atbilstoši iestādē noteiktajai iekšējai dokumentu aprites kārtībai.</w:t>
      </w:r>
    </w:p>
    <w:p w14:paraId="72CCA80D" w14:textId="684D1FD8" w:rsidR="00291AB2" w:rsidRPr="00CB73F9" w:rsidRDefault="00CB73F9" w:rsidP="003D7843">
      <w:pPr>
        <w:jc w:val="center"/>
        <w:rPr>
          <w:lang w:val="lv-LV"/>
        </w:rPr>
      </w:pPr>
      <w:r w:rsidRPr="00CB73F9">
        <w:rPr>
          <w:rFonts w:cstheme="minorHAnsi"/>
          <w:lang w:val="lv-LV"/>
        </w:rPr>
        <w:tab/>
      </w:r>
      <w:r w:rsidRPr="00CB73F9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sectPr w:rsidR="00291AB2" w:rsidRPr="00CB73F9" w:rsidSect="00291AB2">
      <w:footerReference w:type="default" r:id="rId1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8506" w14:textId="77777777" w:rsidR="00B75315" w:rsidRDefault="00B75315" w:rsidP="001D0122">
      <w:pPr>
        <w:spacing w:after="0" w:line="240" w:lineRule="auto"/>
      </w:pPr>
      <w:r>
        <w:separator/>
      </w:r>
    </w:p>
  </w:endnote>
  <w:endnote w:type="continuationSeparator" w:id="0">
    <w:p w14:paraId="60D47D23" w14:textId="77777777" w:rsidR="00B75315" w:rsidRDefault="00B75315" w:rsidP="001D0122">
      <w:pPr>
        <w:spacing w:after="0" w:line="240" w:lineRule="auto"/>
      </w:pPr>
      <w:r>
        <w:continuationSeparator/>
      </w:r>
    </w:p>
  </w:endnote>
  <w:endnote w:type="continuationNotice" w:id="1">
    <w:p w14:paraId="4CF638A4" w14:textId="77777777" w:rsidR="00B75315" w:rsidRDefault="00B753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385BD" w14:textId="1CAF524D" w:rsidR="009403E7" w:rsidRDefault="009403E7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3F9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1507CFAF" w14:textId="77777777" w:rsidR="009403E7" w:rsidRDefault="009403E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366E" w14:textId="77777777" w:rsidR="00B75315" w:rsidRDefault="00B75315" w:rsidP="001D0122">
      <w:pPr>
        <w:spacing w:after="0" w:line="240" w:lineRule="auto"/>
      </w:pPr>
      <w:r>
        <w:separator/>
      </w:r>
    </w:p>
  </w:footnote>
  <w:footnote w:type="continuationSeparator" w:id="0">
    <w:p w14:paraId="131D52A5" w14:textId="77777777" w:rsidR="00B75315" w:rsidRDefault="00B75315" w:rsidP="001D0122">
      <w:pPr>
        <w:spacing w:after="0" w:line="240" w:lineRule="auto"/>
      </w:pPr>
      <w:r>
        <w:continuationSeparator/>
      </w:r>
    </w:p>
  </w:footnote>
  <w:footnote w:type="continuationNotice" w:id="1">
    <w:p w14:paraId="5A5C0216" w14:textId="77777777" w:rsidR="00B75315" w:rsidRDefault="00B753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3CA387E"/>
    <w:multiLevelType w:val="multilevel"/>
    <w:tmpl w:val="CEB0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8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4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7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7E0078"/>
    <w:multiLevelType w:val="multilevel"/>
    <w:tmpl w:val="CFACB32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3" w15:restartNumberingAfterBreak="0">
    <w:nsid w:val="691514E4"/>
    <w:multiLevelType w:val="multilevel"/>
    <w:tmpl w:val="292C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1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2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01503">
    <w:abstractNumId w:val="33"/>
  </w:num>
  <w:num w:numId="2" w16cid:durableId="324237344">
    <w:abstractNumId w:val="55"/>
  </w:num>
  <w:num w:numId="3" w16cid:durableId="63964049">
    <w:abstractNumId w:val="61"/>
  </w:num>
  <w:num w:numId="4" w16cid:durableId="862404707">
    <w:abstractNumId w:val="44"/>
  </w:num>
  <w:num w:numId="5" w16cid:durableId="1625035326">
    <w:abstractNumId w:val="40"/>
  </w:num>
  <w:num w:numId="6" w16cid:durableId="2070766975">
    <w:abstractNumId w:val="57"/>
  </w:num>
  <w:num w:numId="7" w16cid:durableId="233123220">
    <w:abstractNumId w:val="25"/>
  </w:num>
  <w:num w:numId="8" w16cid:durableId="603733320">
    <w:abstractNumId w:val="16"/>
  </w:num>
  <w:num w:numId="9" w16cid:durableId="1566140829">
    <w:abstractNumId w:val="20"/>
  </w:num>
  <w:num w:numId="10" w16cid:durableId="1706251676">
    <w:abstractNumId w:val="3"/>
  </w:num>
  <w:num w:numId="11" w16cid:durableId="849491708">
    <w:abstractNumId w:val="31"/>
  </w:num>
  <w:num w:numId="12" w16cid:durableId="1441680614">
    <w:abstractNumId w:val="38"/>
  </w:num>
  <w:num w:numId="13" w16cid:durableId="981740215">
    <w:abstractNumId w:val="26"/>
  </w:num>
  <w:num w:numId="14" w16cid:durableId="1728264206">
    <w:abstractNumId w:val="6"/>
  </w:num>
  <w:num w:numId="15" w16cid:durableId="1707174422">
    <w:abstractNumId w:val="24"/>
  </w:num>
  <w:num w:numId="16" w16cid:durableId="2041740207">
    <w:abstractNumId w:val="17"/>
  </w:num>
  <w:num w:numId="17" w16cid:durableId="315887799">
    <w:abstractNumId w:val="46"/>
  </w:num>
  <w:num w:numId="18" w16cid:durableId="1343974436">
    <w:abstractNumId w:val="21"/>
  </w:num>
  <w:num w:numId="19" w16cid:durableId="991720355">
    <w:abstractNumId w:val="10"/>
  </w:num>
  <w:num w:numId="20" w16cid:durableId="1011374023">
    <w:abstractNumId w:val="32"/>
  </w:num>
  <w:num w:numId="21" w16cid:durableId="647365407">
    <w:abstractNumId w:val="59"/>
  </w:num>
  <w:num w:numId="22" w16cid:durableId="1374772829">
    <w:abstractNumId w:val="39"/>
  </w:num>
  <w:num w:numId="23" w16cid:durableId="695348919">
    <w:abstractNumId w:val="27"/>
  </w:num>
  <w:num w:numId="24" w16cid:durableId="368453014">
    <w:abstractNumId w:val="29"/>
  </w:num>
  <w:num w:numId="25" w16cid:durableId="1138843960">
    <w:abstractNumId w:val="23"/>
  </w:num>
  <w:num w:numId="26" w16cid:durableId="531697871">
    <w:abstractNumId w:val="30"/>
  </w:num>
  <w:num w:numId="27" w16cid:durableId="54860828">
    <w:abstractNumId w:val="15"/>
  </w:num>
  <w:num w:numId="28" w16cid:durableId="703364139">
    <w:abstractNumId w:val="52"/>
  </w:num>
  <w:num w:numId="29" w16cid:durableId="617680631">
    <w:abstractNumId w:val="19"/>
  </w:num>
  <w:num w:numId="30" w16cid:durableId="555942906">
    <w:abstractNumId w:val="2"/>
  </w:num>
  <w:num w:numId="31" w16cid:durableId="219093266">
    <w:abstractNumId w:val="50"/>
  </w:num>
  <w:num w:numId="32" w16cid:durableId="1475293274">
    <w:abstractNumId w:val="22"/>
  </w:num>
  <w:num w:numId="33" w16cid:durableId="1112478731">
    <w:abstractNumId w:val="63"/>
  </w:num>
  <w:num w:numId="34" w16cid:durableId="92749368">
    <w:abstractNumId w:val="49"/>
  </w:num>
  <w:num w:numId="35" w16cid:durableId="1009603665">
    <w:abstractNumId w:val="9"/>
  </w:num>
  <w:num w:numId="36" w16cid:durableId="796919174">
    <w:abstractNumId w:val="1"/>
  </w:num>
  <w:num w:numId="37" w16cid:durableId="349768949">
    <w:abstractNumId w:val="58"/>
  </w:num>
  <w:num w:numId="38" w16cid:durableId="486244095">
    <w:abstractNumId w:val="11"/>
  </w:num>
  <w:num w:numId="39" w16cid:durableId="738020717">
    <w:abstractNumId w:val="47"/>
  </w:num>
  <w:num w:numId="40" w16cid:durableId="1716729865">
    <w:abstractNumId w:val="37"/>
  </w:num>
  <w:num w:numId="41" w16cid:durableId="435178975">
    <w:abstractNumId w:val="41"/>
  </w:num>
  <w:num w:numId="42" w16cid:durableId="589775825">
    <w:abstractNumId w:val="7"/>
  </w:num>
  <w:num w:numId="43" w16cid:durableId="709570799">
    <w:abstractNumId w:val="62"/>
  </w:num>
  <w:num w:numId="44" w16cid:durableId="124012737">
    <w:abstractNumId w:val="0"/>
  </w:num>
  <w:num w:numId="45" w16cid:durableId="1373454738">
    <w:abstractNumId w:val="13"/>
  </w:num>
  <w:num w:numId="46" w16cid:durableId="1334990969">
    <w:abstractNumId w:val="5"/>
  </w:num>
  <w:num w:numId="47" w16cid:durableId="142042199">
    <w:abstractNumId w:val="35"/>
  </w:num>
  <w:num w:numId="48" w16cid:durableId="1372459675">
    <w:abstractNumId w:val="56"/>
  </w:num>
  <w:num w:numId="49" w16cid:durableId="1855683198">
    <w:abstractNumId w:val="54"/>
  </w:num>
  <w:num w:numId="50" w16cid:durableId="744498198">
    <w:abstractNumId w:val="12"/>
  </w:num>
  <w:num w:numId="51" w16cid:durableId="907377660">
    <w:abstractNumId w:val="34"/>
  </w:num>
  <w:num w:numId="52" w16cid:durableId="844633958">
    <w:abstractNumId w:val="42"/>
  </w:num>
  <w:num w:numId="53" w16cid:durableId="464591801">
    <w:abstractNumId w:val="14"/>
  </w:num>
  <w:num w:numId="54" w16cid:durableId="1427576699">
    <w:abstractNumId w:val="43"/>
  </w:num>
  <w:num w:numId="55" w16cid:durableId="511459183">
    <w:abstractNumId w:val="18"/>
  </w:num>
  <w:num w:numId="56" w16cid:durableId="406273481">
    <w:abstractNumId w:val="45"/>
  </w:num>
  <w:num w:numId="57" w16cid:durableId="328483208">
    <w:abstractNumId w:val="28"/>
  </w:num>
  <w:num w:numId="58" w16cid:durableId="1025905085">
    <w:abstractNumId w:val="4"/>
  </w:num>
  <w:num w:numId="59" w16cid:durableId="1335649128">
    <w:abstractNumId w:val="51"/>
  </w:num>
  <w:num w:numId="60" w16cid:durableId="356083436">
    <w:abstractNumId w:val="48"/>
  </w:num>
  <w:num w:numId="61" w16cid:durableId="514610852">
    <w:abstractNumId w:val="60"/>
  </w:num>
  <w:num w:numId="62" w16cid:durableId="420763944">
    <w:abstractNumId w:val="8"/>
  </w:num>
  <w:num w:numId="63" w16cid:durableId="1899977348">
    <w:abstractNumId w:val="53"/>
  </w:num>
  <w:num w:numId="64" w16cid:durableId="1151827111">
    <w:abstractNumId w:val="3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D5"/>
    <w:rsid w:val="0000289E"/>
    <w:rsid w:val="00002AD7"/>
    <w:rsid w:val="00004A16"/>
    <w:rsid w:val="00007115"/>
    <w:rsid w:val="00012B5C"/>
    <w:rsid w:val="00014C96"/>
    <w:rsid w:val="00014D6C"/>
    <w:rsid w:val="000201D1"/>
    <w:rsid w:val="0002090C"/>
    <w:rsid w:val="0002245B"/>
    <w:rsid w:val="00022B2E"/>
    <w:rsid w:val="00030037"/>
    <w:rsid w:val="00032FBD"/>
    <w:rsid w:val="00034036"/>
    <w:rsid w:val="00035664"/>
    <w:rsid w:val="00036DD2"/>
    <w:rsid w:val="00037BB2"/>
    <w:rsid w:val="000409C3"/>
    <w:rsid w:val="0004105B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7298"/>
    <w:rsid w:val="0006D161"/>
    <w:rsid w:val="00072131"/>
    <w:rsid w:val="00076169"/>
    <w:rsid w:val="00076705"/>
    <w:rsid w:val="00076B3A"/>
    <w:rsid w:val="00080239"/>
    <w:rsid w:val="000802A6"/>
    <w:rsid w:val="0008147A"/>
    <w:rsid w:val="000815B3"/>
    <w:rsid w:val="00082542"/>
    <w:rsid w:val="00083408"/>
    <w:rsid w:val="000848EE"/>
    <w:rsid w:val="000850A9"/>
    <w:rsid w:val="00085C06"/>
    <w:rsid w:val="00085D55"/>
    <w:rsid w:val="00086A19"/>
    <w:rsid w:val="00091BF2"/>
    <w:rsid w:val="00092546"/>
    <w:rsid w:val="00092BE5"/>
    <w:rsid w:val="00094783"/>
    <w:rsid w:val="00094BEA"/>
    <w:rsid w:val="00095A5F"/>
    <w:rsid w:val="000962F7"/>
    <w:rsid w:val="000966A3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B5814"/>
    <w:rsid w:val="000C0566"/>
    <w:rsid w:val="000C099C"/>
    <w:rsid w:val="000C121F"/>
    <w:rsid w:val="000C1513"/>
    <w:rsid w:val="000C3A1E"/>
    <w:rsid w:val="000C7451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C4A"/>
    <w:rsid w:val="000E7253"/>
    <w:rsid w:val="000E7A50"/>
    <w:rsid w:val="000F00C8"/>
    <w:rsid w:val="000F0426"/>
    <w:rsid w:val="000F30F2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0705E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14DE"/>
    <w:rsid w:val="00132F35"/>
    <w:rsid w:val="00134D4A"/>
    <w:rsid w:val="001356EA"/>
    <w:rsid w:val="001378AC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5F5"/>
    <w:rsid w:val="00196D9F"/>
    <w:rsid w:val="00196E45"/>
    <w:rsid w:val="0019771E"/>
    <w:rsid w:val="00197D88"/>
    <w:rsid w:val="001A01B4"/>
    <w:rsid w:val="001A0D21"/>
    <w:rsid w:val="001A1F37"/>
    <w:rsid w:val="001A35E0"/>
    <w:rsid w:val="001A5CBF"/>
    <w:rsid w:val="001A73B3"/>
    <w:rsid w:val="001B14E3"/>
    <w:rsid w:val="001B152B"/>
    <w:rsid w:val="001B1C91"/>
    <w:rsid w:val="001B553B"/>
    <w:rsid w:val="001C18DF"/>
    <w:rsid w:val="001C2EBE"/>
    <w:rsid w:val="001C434E"/>
    <w:rsid w:val="001C4607"/>
    <w:rsid w:val="001C5F3B"/>
    <w:rsid w:val="001C60CE"/>
    <w:rsid w:val="001D0122"/>
    <w:rsid w:val="001D0B18"/>
    <w:rsid w:val="001D16EF"/>
    <w:rsid w:val="001D340B"/>
    <w:rsid w:val="001D51D3"/>
    <w:rsid w:val="001E06BC"/>
    <w:rsid w:val="001E0848"/>
    <w:rsid w:val="001E0B21"/>
    <w:rsid w:val="001E22A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4EC6"/>
    <w:rsid w:val="0021573F"/>
    <w:rsid w:val="00216D05"/>
    <w:rsid w:val="00220500"/>
    <w:rsid w:val="00220F82"/>
    <w:rsid w:val="002252A1"/>
    <w:rsid w:val="00226F26"/>
    <w:rsid w:val="00227556"/>
    <w:rsid w:val="0023270E"/>
    <w:rsid w:val="00236235"/>
    <w:rsid w:val="00240BD3"/>
    <w:rsid w:val="002418A8"/>
    <w:rsid w:val="00241999"/>
    <w:rsid w:val="00241BE1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914"/>
    <w:rsid w:val="00271ABF"/>
    <w:rsid w:val="002727B1"/>
    <w:rsid w:val="00273BD2"/>
    <w:rsid w:val="0027477C"/>
    <w:rsid w:val="00276000"/>
    <w:rsid w:val="00276FCE"/>
    <w:rsid w:val="0028321A"/>
    <w:rsid w:val="00286B5A"/>
    <w:rsid w:val="00286E8F"/>
    <w:rsid w:val="00287D06"/>
    <w:rsid w:val="00290024"/>
    <w:rsid w:val="00291AB2"/>
    <w:rsid w:val="002922E5"/>
    <w:rsid w:val="00293A60"/>
    <w:rsid w:val="00293ADB"/>
    <w:rsid w:val="00294E91"/>
    <w:rsid w:val="002A1B32"/>
    <w:rsid w:val="002A4E0E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5054"/>
    <w:rsid w:val="002D5210"/>
    <w:rsid w:val="002D7BA4"/>
    <w:rsid w:val="002E290A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41F"/>
    <w:rsid w:val="003240DC"/>
    <w:rsid w:val="00324AA5"/>
    <w:rsid w:val="00325E3E"/>
    <w:rsid w:val="0032657E"/>
    <w:rsid w:val="00330327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47229"/>
    <w:rsid w:val="003567CD"/>
    <w:rsid w:val="00360348"/>
    <w:rsid w:val="00365753"/>
    <w:rsid w:val="00371849"/>
    <w:rsid w:val="00373609"/>
    <w:rsid w:val="00373CB0"/>
    <w:rsid w:val="0038026E"/>
    <w:rsid w:val="00382880"/>
    <w:rsid w:val="00382B24"/>
    <w:rsid w:val="00386249"/>
    <w:rsid w:val="003865B2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843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5C9C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6D83"/>
    <w:rsid w:val="00501CF7"/>
    <w:rsid w:val="00503271"/>
    <w:rsid w:val="00505422"/>
    <w:rsid w:val="005078F5"/>
    <w:rsid w:val="0051032C"/>
    <w:rsid w:val="005103EC"/>
    <w:rsid w:val="00513EE7"/>
    <w:rsid w:val="00516C7A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BEC"/>
    <w:rsid w:val="00552D0C"/>
    <w:rsid w:val="005533ED"/>
    <w:rsid w:val="00554F8A"/>
    <w:rsid w:val="0056034B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4408"/>
    <w:rsid w:val="005A18F5"/>
    <w:rsid w:val="005A1DAF"/>
    <w:rsid w:val="005A1DC8"/>
    <w:rsid w:val="005A300C"/>
    <w:rsid w:val="005A4646"/>
    <w:rsid w:val="005A6218"/>
    <w:rsid w:val="005A65F9"/>
    <w:rsid w:val="005A6771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F15"/>
    <w:rsid w:val="005D7AE1"/>
    <w:rsid w:val="005E0C4F"/>
    <w:rsid w:val="005E0C68"/>
    <w:rsid w:val="005E261E"/>
    <w:rsid w:val="005E5C5A"/>
    <w:rsid w:val="005E69FD"/>
    <w:rsid w:val="005F0E0A"/>
    <w:rsid w:val="005F2980"/>
    <w:rsid w:val="005F3671"/>
    <w:rsid w:val="005F387A"/>
    <w:rsid w:val="005F48FA"/>
    <w:rsid w:val="005F52EF"/>
    <w:rsid w:val="005F6C2E"/>
    <w:rsid w:val="00601C84"/>
    <w:rsid w:val="00602A45"/>
    <w:rsid w:val="00602E2F"/>
    <w:rsid w:val="0060460B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2598"/>
    <w:rsid w:val="00662C51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FB0"/>
    <w:rsid w:val="006D76F2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32FC"/>
    <w:rsid w:val="007C36B8"/>
    <w:rsid w:val="007C5491"/>
    <w:rsid w:val="007C734B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8B3"/>
    <w:rsid w:val="00817EB4"/>
    <w:rsid w:val="00821F8A"/>
    <w:rsid w:val="00823164"/>
    <w:rsid w:val="008234C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23E2"/>
    <w:rsid w:val="00896053"/>
    <w:rsid w:val="00897073"/>
    <w:rsid w:val="0089792B"/>
    <w:rsid w:val="008A10F4"/>
    <w:rsid w:val="008A158B"/>
    <w:rsid w:val="008A5234"/>
    <w:rsid w:val="008B1A3B"/>
    <w:rsid w:val="008B1E63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3D9A"/>
    <w:rsid w:val="008E408C"/>
    <w:rsid w:val="008E5566"/>
    <w:rsid w:val="008E6760"/>
    <w:rsid w:val="008E6C83"/>
    <w:rsid w:val="008E7634"/>
    <w:rsid w:val="008E7F11"/>
    <w:rsid w:val="008F02B4"/>
    <w:rsid w:val="008F04FB"/>
    <w:rsid w:val="008F3A71"/>
    <w:rsid w:val="008F5E82"/>
    <w:rsid w:val="008F79AB"/>
    <w:rsid w:val="00901415"/>
    <w:rsid w:val="009019D7"/>
    <w:rsid w:val="00901E97"/>
    <w:rsid w:val="00902E08"/>
    <w:rsid w:val="009043B8"/>
    <w:rsid w:val="00907373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4636"/>
    <w:rsid w:val="009265DB"/>
    <w:rsid w:val="009267A0"/>
    <w:rsid w:val="00931F4D"/>
    <w:rsid w:val="009328BF"/>
    <w:rsid w:val="00934D04"/>
    <w:rsid w:val="00936AAE"/>
    <w:rsid w:val="00937EBD"/>
    <w:rsid w:val="00940039"/>
    <w:rsid w:val="009403E7"/>
    <w:rsid w:val="0094311B"/>
    <w:rsid w:val="00944AC8"/>
    <w:rsid w:val="009453C0"/>
    <w:rsid w:val="009463CA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517B"/>
    <w:rsid w:val="009A57A0"/>
    <w:rsid w:val="009A58AA"/>
    <w:rsid w:val="009A5EA4"/>
    <w:rsid w:val="009A6B48"/>
    <w:rsid w:val="009A7DB7"/>
    <w:rsid w:val="009B03F1"/>
    <w:rsid w:val="009B3044"/>
    <w:rsid w:val="009B4310"/>
    <w:rsid w:val="009B47CF"/>
    <w:rsid w:val="009B550D"/>
    <w:rsid w:val="009C0B85"/>
    <w:rsid w:val="009C1607"/>
    <w:rsid w:val="009C1CCC"/>
    <w:rsid w:val="009C245E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50DA4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6638"/>
    <w:rsid w:val="00AA0B1F"/>
    <w:rsid w:val="00AA0C3D"/>
    <w:rsid w:val="00AA16CC"/>
    <w:rsid w:val="00AA1916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678A"/>
    <w:rsid w:val="00AB71B3"/>
    <w:rsid w:val="00AB71E1"/>
    <w:rsid w:val="00AC072C"/>
    <w:rsid w:val="00AC14E5"/>
    <w:rsid w:val="00AC1537"/>
    <w:rsid w:val="00AC3C60"/>
    <w:rsid w:val="00AC5CB6"/>
    <w:rsid w:val="00AC6366"/>
    <w:rsid w:val="00AC76BB"/>
    <w:rsid w:val="00AD0358"/>
    <w:rsid w:val="00AD16C0"/>
    <w:rsid w:val="00AD16E9"/>
    <w:rsid w:val="00AD62D5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75315"/>
    <w:rsid w:val="00B80BA4"/>
    <w:rsid w:val="00B82921"/>
    <w:rsid w:val="00B82D04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8B8"/>
    <w:rsid w:val="00BD4730"/>
    <w:rsid w:val="00BD51E2"/>
    <w:rsid w:val="00BE21C8"/>
    <w:rsid w:val="00BE3029"/>
    <w:rsid w:val="00BE4994"/>
    <w:rsid w:val="00BE73DF"/>
    <w:rsid w:val="00BE754C"/>
    <w:rsid w:val="00BF250C"/>
    <w:rsid w:val="00BF4C5F"/>
    <w:rsid w:val="00C0234F"/>
    <w:rsid w:val="00C03B8C"/>
    <w:rsid w:val="00C047A6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7FC2"/>
    <w:rsid w:val="00C5387A"/>
    <w:rsid w:val="00C540CE"/>
    <w:rsid w:val="00C54114"/>
    <w:rsid w:val="00C54EE9"/>
    <w:rsid w:val="00C65682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443"/>
    <w:rsid w:val="00CA3A4C"/>
    <w:rsid w:val="00CA4D23"/>
    <w:rsid w:val="00CA6B60"/>
    <w:rsid w:val="00CA7723"/>
    <w:rsid w:val="00CB0549"/>
    <w:rsid w:val="00CB06D5"/>
    <w:rsid w:val="00CB2C86"/>
    <w:rsid w:val="00CB73F9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45C1D"/>
    <w:rsid w:val="00D50495"/>
    <w:rsid w:val="00D5086C"/>
    <w:rsid w:val="00D529F6"/>
    <w:rsid w:val="00D551BC"/>
    <w:rsid w:val="00D569B3"/>
    <w:rsid w:val="00D6302E"/>
    <w:rsid w:val="00D645E6"/>
    <w:rsid w:val="00D64AE4"/>
    <w:rsid w:val="00D66163"/>
    <w:rsid w:val="00D6671B"/>
    <w:rsid w:val="00D72D76"/>
    <w:rsid w:val="00D74737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665"/>
    <w:rsid w:val="00D97D2B"/>
    <w:rsid w:val="00DA15FF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E09CF"/>
    <w:rsid w:val="00DE2890"/>
    <w:rsid w:val="00DE3CA1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4839"/>
    <w:rsid w:val="00E05AA5"/>
    <w:rsid w:val="00E07C39"/>
    <w:rsid w:val="00E12D5A"/>
    <w:rsid w:val="00E12DD4"/>
    <w:rsid w:val="00E17491"/>
    <w:rsid w:val="00E17A34"/>
    <w:rsid w:val="00E17D3E"/>
    <w:rsid w:val="00E2143D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68E1"/>
    <w:rsid w:val="00F11313"/>
    <w:rsid w:val="00F124C7"/>
    <w:rsid w:val="00F1327A"/>
    <w:rsid w:val="00F15645"/>
    <w:rsid w:val="00F1769D"/>
    <w:rsid w:val="00F2078F"/>
    <w:rsid w:val="00F20CC9"/>
    <w:rsid w:val="00F21F2F"/>
    <w:rsid w:val="00F22D88"/>
    <w:rsid w:val="00F25FB8"/>
    <w:rsid w:val="00F260D8"/>
    <w:rsid w:val="00F264C2"/>
    <w:rsid w:val="00F3110B"/>
    <w:rsid w:val="00F3170D"/>
    <w:rsid w:val="00F32D8B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59E3"/>
    <w:rsid w:val="00F67382"/>
    <w:rsid w:val="00F705A3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CD2"/>
    <w:rsid w:val="00F84631"/>
    <w:rsid w:val="00F86CBF"/>
    <w:rsid w:val="00F873AE"/>
    <w:rsid w:val="00F8784B"/>
    <w:rsid w:val="00F87AA0"/>
    <w:rsid w:val="00F941CA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2AA"/>
    <w:rsid w:val="00FC1357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27959CC"/>
    <w:rsid w:val="0B0FE4A4"/>
    <w:rsid w:val="1169CCD0"/>
    <w:rsid w:val="123683C8"/>
    <w:rsid w:val="1A18B935"/>
    <w:rsid w:val="20344E63"/>
    <w:rsid w:val="21025DE0"/>
    <w:rsid w:val="23897066"/>
    <w:rsid w:val="24482EA6"/>
    <w:rsid w:val="2A9BC21D"/>
    <w:rsid w:val="2B8C849C"/>
    <w:rsid w:val="2F66F085"/>
    <w:rsid w:val="326401B4"/>
    <w:rsid w:val="3467EC10"/>
    <w:rsid w:val="3916C580"/>
    <w:rsid w:val="39BE09A0"/>
    <w:rsid w:val="3F0E37C8"/>
    <w:rsid w:val="3F3A03EF"/>
    <w:rsid w:val="41154E37"/>
    <w:rsid w:val="443A08E4"/>
    <w:rsid w:val="445BF934"/>
    <w:rsid w:val="45AE346A"/>
    <w:rsid w:val="4659F562"/>
    <w:rsid w:val="4827EB80"/>
    <w:rsid w:val="4D68E114"/>
    <w:rsid w:val="4EA78860"/>
    <w:rsid w:val="54552E6F"/>
    <w:rsid w:val="552F57A7"/>
    <w:rsid w:val="57A454B0"/>
    <w:rsid w:val="5D7E318B"/>
    <w:rsid w:val="6056AB6D"/>
    <w:rsid w:val="60979FCC"/>
    <w:rsid w:val="65EA71B0"/>
    <w:rsid w:val="6B5E0D48"/>
    <w:rsid w:val="704BAF52"/>
    <w:rsid w:val="713E1D59"/>
    <w:rsid w:val="75D9DE0D"/>
    <w:rsid w:val="784B1787"/>
    <w:rsid w:val="7B1C08A1"/>
    <w:rsid w:val="7D78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FA126"/>
  <w15:chartTrackingRefBased/>
  <w15:docId w15:val="{2E1577A7-0E4F-458F-B67F-8A09D35F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311B"/>
  </w:style>
  <w:style w:type="paragraph" w:styleId="Virsraksts1">
    <w:name w:val="heading 1"/>
    <w:basedOn w:val="Parasts"/>
    <w:next w:val="Parasts"/>
    <w:link w:val="Virsraksts1Rakstz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127C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Izteiksmgs">
    <w:name w:val="Strong"/>
    <w:basedOn w:val="Noklusjumarindkopasfonts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zclums">
    <w:name w:val="Emphasis"/>
    <w:basedOn w:val="Noklusjumarindkopasfonts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kods">
    <w:name w:val="HTML Code"/>
    <w:basedOn w:val="Noklusjumarindkopasfonts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Izmantotahipersaite">
    <w:name w:val="FollowedHyperlink"/>
    <w:basedOn w:val="Noklusjumarindkopasfonts"/>
    <w:uiPriority w:val="99"/>
    <w:semiHidden/>
    <w:unhideWhenUsed/>
    <w:rsid w:val="004E2CF9"/>
    <w:rPr>
      <w:color w:val="954F72" w:themeColor="followedHyperlink"/>
      <w:u w:val="single"/>
    </w:rPr>
  </w:style>
  <w:style w:type="table" w:styleId="Reatabula">
    <w:name w:val="Table Grid"/>
    <w:basedOn w:val="Parastatabula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F47DF"/>
    <w:rPr>
      <w:color w:val="000000" w:themeColor="text1"/>
      <w:sz w:val="24"/>
      <w:szCs w:val="24"/>
    </w:rPr>
  </w:style>
  <w:style w:type="paragraph" w:styleId="Bezatstarpm">
    <w:name w:val="No Spacing"/>
    <w:uiPriority w:val="1"/>
    <w:qFormat/>
    <w:rsid w:val="007F47DF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7F47DF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Izsmalcintaatsauce">
    <w:name w:val="Subtle Reference"/>
    <w:basedOn w:val="Noklusjumarindkopasfonts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Grmatasnosaukums">
    <w:name w:val="Book Title"/>
    <w:basedOn w:val="Noklusjumarindkopasfonts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Parasts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turs1">
    <w:name w:val="toc 1"/>
    <w:basedOn w:val="Parasts"/>
    <w:next w:val="Parasts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Saturs2">
    <w:name w:val="toc 2"/>
    <w:basedOn w:val="Parasts"/>
    <w:next w:val="Parasts"/>
    <w:autoRedefine/>
    <w:uiPriority w:val="39"/>
    <w:unhideWhenUsed/>
    <w:rsid w:val="00AA2D03"/>
    <w:pPr>
      <w:spacing w:after="100"/>
      <w:ind w:left="210"/>
    </w:pPr>
  </w:style>
  <w:style w:type="paragraph" w:styleId="Saturs3">
    <w:name w:val="toc 3"/>
    <w:basedOn w:val="Parasts"/>
    <w:next w:val="Parasts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Noklusjumarindkopasfonts"/>
    <w:rsid w:val="00681A2A"/>
  </w:style>
  <w:style w:type="character" w:styleId="Komentraatsauce">
    <w:name w:val="annotation reference"/>
    <w:basedOn w:val="Noklusjumarindkopasfonts"/>
    <w:uiPriority w:val="99"/>
    <w:semiHidden/>
    <w:unhideWhenUsed/>
    <w:rsid w:val="008350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3506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50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3506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D0122"/>
  </w:style>
  <w:style w:type="paragraph" w:styleId="Kjene">
    <w:name w:val="footer"/>
    <w:basedOn w:val="Parasts"/>
    <w:link w:val="Kj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D0122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Noklusjumarindkopasfonts"/>
    <w:rsid w:val="00970B1A"/>
  </w:style>
  <w:style w:type="character" w:styleId="Neatrisintapieminana">
    <w:name w:val="Unresolved Mention"/>
    <w:basedOn w:val="Noklusjumarindkopasfonts"/>
    <w:uiPriority w:val="99"/>
    <w:semiHidden/>
    <w:unhideWhenUsed/>
    <w:rsid w:val="00A8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aiib.gov.lv/lv/izmeklesanas-zinojum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aiib.gov.lv/lv/pazinosana-par-negadijum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aiib.gov.l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taiib.gov.lv/lv/budzet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aiib.gov.lv/lv/jaun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D71E8EB670144CB80E4B0EFFE2B324" ma:contentTypeVersion="12" ma:contentTypeDescription="Izveidot jaunu dokumentu." ma:contentTypeScope="" ma:versionID="e33ec9b88193dde8fe92ef44500d6a48">
  <xsd:schema xmlns:xsd="http://www.w3.org/2001/XMLSchema" xmlns:xs="http://www.w3.org/2001/XMLSchema" xmlns:p="http://schemas.microsoft.com/office/2006/metadata/properties" xmlns:ns2="4ae305c7-e755-403b-9232-db043c577745" xmlns:ns3="b88d83cc-a4cb-49d3-9c8d-9222e4bbbdd5" targetNamespace="http://schemas.microsoft.com/office/2006/metadata/properties" ma:root="true" ma:fieldsID="cdaf601f4e0900eb1c8cbb5f65eab5c8" ns2:_="" ns3:_="">
    <xsd:import namespace="4ae305c7-e755-403b-9232-db043c577745"/>
    <xsd:import namespace="b88d83cc-a4cb-49d3-9c8d-9222e4bb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05c7-e755-403b-9232-db043c57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d83cc-a4cb-49d3-9c8d-9222e4bbb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11078-7A1A-48B2-8FF9-9185EC7A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05c7-e755-403b-9232-db043c577745"/>
    <ds:schemaRef ds:uri="b88d83cc-a4cb-49d3-9c8d-9222e4bb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1698A-8B05-49EF-ABE5-B6C02DABA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53A7F-9C56-4F9B-A842-8807C0F05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497519-3540-4588-AE2B-C217944B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941</Words>
  <Characters>6599</Characters>
  <Application>Microsoft Office Word</Application>
  <DocSecurity>0</DocSecurity>
  <Lines>733</Lines>
  <Paragraphs>106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Javtushenko</dc:creator>
  <cp:keywords/>
  <dc:description/>
  <cp:lastModifiedBy>Signe Klusa</cp:lastModifiedBy>
  <cp:revision>3</cp:revision>
  <dcterms:created xsi:type="dcterms:W3CDTF">2026-09-18T07:06:00Z</dcterms:created>
  <dcterms:modified xsi:type="dcterms:W3CDTF">2026-10-12T07:52:00Z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